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D76B63" w14:textId="2025CF98" w:rsidR="002F0F57" w:rsidRPr="002F0F57" w:rsidRDefault="002F0F57" w:rsidP="002F0F57">
      <w:pPr>
        <w:pStyle w:val="Subtitle"/>
        <w:rPr>
          <w:rStyle w:val="BookTitle"/>
          <w:i w:val="0"/>
          <w:iCs w:val="0"/>
        </w:rPr>
      </w:pPr>
      <w:r w:rsidRPr="002F0F57">
        <w:rPr>
          <w:rStyle w:val="BookTitle"/>
          <w:i w:val="0"/>
          <w:iCs w:val="0"/>
        </w:rPr>
        <w:t>3GPP TSG RAN WG1 Meeting #10</w:t>
      </w:r>
      <w:r w:rsidR="00AF0EE4">
        <w:rPr>
          <w:rStyle w:val="BookTitle"/>
          <w:i w:val="0"/>
          <w:iCs w:val="0"/>
        </w:rPr>
        <w:t>6</w:t>
      </w:r>
      <w:r w:rsidRPr="002F0F57">
        <w:rPr>
          <w:rStyle w:val="BookTitle"/>
          <w:i w:val="0"/>
          <w:iCs w:val="0"/>
        </w:rPr>
        <w:t xml:space="preserve">-e     </w:t>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r>
      <w:r w:rsidRPr="002F0F57">
        <w:rPr>
          <w:rStyle w:val="BookTitle"/>
          <w:i w:val="0"/>
          <w:iCs w:val="0"/>
        </w:rPr>
        <w:tab/>
        <w:t xml:space="preserve">          R1-2</w:t>
      </w:r>
      <w:r w:rsidR="006E08F6">
        <w:rPr>
          <w:rStyle w:val="BookTitle"/>
          <w:i w:val="0"/>
          <w:iCs w:val="0"/>
        </w:rPr>
        <w:t>10</w:t>
      </w:r>
      <w:r w:rsidR="00AF0EE4">
        <w:rPr>
          <w:rStyle w:val="BookTitle"/>
          <w:i w:val="0"/>
          <w:iCs w:val="0"/>
        </w:rPr>
        <w:t>7366</w:t>
      </w:r>
    </w:p>
    <w:p w14:paraId="0C3F8CDC" w14:textId="4CA4A3CB" w:rsidR="002F0F57" w:rsidRDefault="00024A3E" w:rsidP="002F0F57">
      <w:pPr>
        <w:pStyle w:val="Subtitle"/>
        <w:rPr>
          <w:rStyle w:val="BookTitle"/>
          <w:i w:val="0"/>
        </w:rPr>
      </w:pPr>
      <w:bookmarkStart w:id="0" w:name="_Hlk61804542"/>
      <w:r>
        <w:rPr>
          <w:rStyle w:val="BookTitle"/>
          <w:i w:val="0"/>
        </w:rPr>
        <w:t>1</w:t>
      </w:r>
      <w:r w:rsidR="00AF0EE4">
        <w:rPr>
          <w:rStyle w:val="BookTitle"/>
          <w:i w:val="0"/>
        </w:rPr>
        <w:t>6</w:t>
      </w:r>
      <w:r w:rsidR="002F0F57">
        <w:rPr>
          <w:rStyle w:val="BookTitle"/>
          <w:vertAlign w:val="superscript"/>
        </w:rPr>
        <w:t>th</w:t>
      </w:r>
      <w:r w:rsidR="002F0F57">
        <w:rPr>
          <w:rStyle w:val="BookTitle"/>
        </w:rPr>
        <w:t xml:space="preserve"> </w:t>
      </w:r>
      <w:r w:rsidR="00AF0EE4">
        <w:rPr>
          <w:rStyle w:val="BookTitle"/>
          <w:i w:val="0"/>
        </w:rPr>
        <w:t>August</w:t>
      </w:r>
      <w:r w:rsidR="002F0F57">
        <w:rPr>
          <w:rStyle w:val="BookTitle"/>
          <w:i w:val="0"/>
        </w:rPr>
        <w:t xml:space="preserve"> </w:t>
      </w:r>
      <w:r w:rsidR="002F0F57">
        <w:rPr>
          <w:rStyle w:val="BookTitle"/>
        </w:rPr>
        <w:t xml:space="preserve">– </w:t>
      </w:r>
      <w:r>
        <w:rPr>
          <w:rStyle w:val="BookTitle"/>
          <w:i w:val="0"/>
        </w:rPr>
        <w:t>27</w:t>
      </w:r>
      <w:r w:rsidR="002F0F57">
        <w:rPr>
          <w:rStyle w:val="BookTitle"/>
          <w:vertAlign w:val="superscript"/>
        </w:rPr>
        <w:t>th</w:t>
      </w:r>
      <w:r w:rsidR="002F0F57">
        <w:rPr>
          <w:rStyle w:val="BookTitle"/>
        </w:rPr>
        <w:t xml:space="preserve"> </w:t>
      </w:r>
      <w:r w:rsidR="00AF0EE4">
        <w:rPr>
          <w:rStyle w:val="BookTitle"/>
          <w:i w:val="0"/>
        </w:rPr>
        <w:t>August</w:t>
      </w:r>
      <w:r w:rsidR="002F0F57">
        <w:rPr>
          <w:rStyle w:val="BookTitle"/>
        </w:rPr>
        <w:t xml:space="preserve"> </w:t>
      </w:r>
      <w:r w:rsidR="002F0F57" w:rsidRPr="002F0F57">
        <w:rPr>
          <w:rStyle w:val="BookTitle"/>
          <w:i w:val="0"/>
          <w:iCs w:val="0"/>
        </w:rPr>
        <w:t>202</w:t>
      </w:r>
      <w:r w:rsidR="00A47409">
        <w:rPr>
          <w:rStyle w:val="BookTitle"/>
          <w:i w:val="0"/>
          <w:iCs w:val="0"/>
        </w:rPr>
        <w:t>1</w:t>
      </w:r>
      <w:bookmarkEnd w:id="0"/>
    </w:p>
    <w:p w14:paraId="74456E81"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Agenda Item:</w:t>
      </w:r>
      <w:r w:rsidRPr="00806EAC">
        <w:rPr>
          <w:rStyle w:val="IntenseReference"/>
        </w:rPr>
        <w:tab/>
      </w:r>
      <w:r w:rsidRPr="00806EAC">
        <w:rPr>
          <w:rStyle w:val="IntenseReference"/>
        </w:rPr>
        <w:tab/>
      </w:r>
      <w:r w:rsidR="00706194">
        <w:rPr>
          <w:rStyle w:val="SubtitleChar"/>
        </w:rPr>
        <w:t>8.10.</w:t>
      </w:r>
      <w:r w:rsidR="00652637">
        <w:rPr>
          <w:rStyle w:val="SubtitleChar"/>
        </w:rPr>
        <w:t>2</w:t>
      </w:r>
    </w:p>
    <w:p w14:paraId="26AD32B7" w14:textId="77777777" w:rsidR="00806EAC" w:rsidRPr="00131C46" w:rsidRDefault="00806EAC" w:rsidP="00806EAC">
      <w:pPr>
        <w:pBdr>
          <w:top w:val="single" w:sz="4" w:space="1" w:color="auto"/>
          <w:bottom w:val="single" w:sz="4" w:space="1" w:color="auto"/>
        </w:pBdr>
        <w:rPr>
          <w:rStyle w:val="BookTitle"/>
        </w:rPr>
      </w:pPr>
      <w:r w:rsidRPr="00AF0340">
        <w:rPr>
          <w:rStyle w:val="BookTitle"/>
        </w:rPr>
        <w:t>Source:</w:t>
      </w:r>
      <w:r w:rsidRPr="00AF0340">
        <w:rPr>
          <w:rStyle w:val="BookTitle"/>
        </w:rPr>
        <w:tab/>
      </w:r>
      <w:r>
        <w:rPr>
          <w:rStyle w:val="IntenseReference"/>
        </w:rPr>
        <w:tab/>
      </w:r>
      <w:r>
        <w:rPr>
          <w:rStyle w:val="IntenseReference"/>
        </w:rPr>
        <w:tab/>
      </w:r>
      <w:r>
        <w:rPr>
          <w:rStyle w:val="IntenseReference"/>
        </w:rPr>
        <w:tab/>
      </w:r>
      <w:r w:rsidRPr="002B4616">
        <w:rPr>
          <w:rStyle w:val="SubtitleChar"/>
        </w:rPr>
        <w:t>Qualcomm Incorporated</w:t>
      </w:r>
    </w:p>
    <w:p w14:paraId="5D7F6707" w14:textId="77777777" w:rsidR="00806EAC" w:rsidRPr="002B4616" w:rsidRDefault="00806EAC" w:rsidP="00652637">
      <w:pPr>
        <w:pBdr>
          <w:top w:val="single" w:sz="4" w:space="1" w:color="auto"/>
          <w:bottom w:val="single" w:sz="4" w:space="1" w:color="auto"/>
        </w:pBdr>
        <w:ind w:left="1700" w:hanging="1700"/>
        <w:rPr>
          <w:rStyle w:val="SubtitleChar"/>
        </w:rPr>
      </w:pPr>
      <w:r w:rsidRPr="00AF0340">
        <w:rPr>
          <w:rStyle w:val="BookTitle"/>
        </w:rPr>
        <w:t xml:space="preserve">Title: </w:t>
      </w:r>
      <w:r w:rsidRPr="00AF0340">
        <w:rPr>
          <w:rStyle w:val="BookTitle"/>
        </w:rPr>
        <w:tab/>
      </w:r>
      <w:r w:rsidRPr="00806EAC">
        <w:rPr>
          <w:rStyle w:val="IntenseReference"/>
        </w:rPr>
        <w:tab/>
      </w:r>
      <w:r w:rsidR="00652637" w:rsidRPr="00652637">
        <w:rPr>
          <w:rStyle w:val="SubtitleChar"/>
        </w:rPr>
        <w:t>On enhancements for simultaneous operation of IAB-node's child and parent links</w:t>
      </w:r>
    </w:p>
    <w:p w14:paraId="7BA05B7E" w14:textId="77777777" w:rsidR="00806EAC" w:rsidRPr="002B4616" w:rsidRDefault="00806EAC" w:rsidP="00806EAC">
      <w:pPr>
        <w:pBdr>
          <w:top w:val="single" w:sz="4" w:space="1" w:color="auto"/>
          <w:bottom w:val="single" w:sz="4" w:space="1" w:color="auto"/>
        </w:pBdr>
        <w:rPr>
          <w:rStyle w:val="SubtitleChar"/>
        </w:rPr>
      </w:pPr>
      <w:r w:rsidRPr="00AF0340">
        <w:rPr>
          <w:rStyle w:val="BookTitle"/>
        </w:rPr>
        <w:t>Document for:</w:t>
      </w:r>
      <w:r w:rsidRPr="00806EAC">
        <w:rPr>
          <w:rStyle w:val="IntenseReference"/>
        </w:rPr>
        <w:tab/>
      </w:r>
      <w:r w:rsidR="00AF0340">
        <w:rPr>
          <w:rStyle w:val="IntenseReference"/>
        </w:rPr>
        <w:tab/>
      </w:r>
      <w:r w:rsidRPr="002B4616">
        <w:rPr>
          <w:rStyle w:val="SubtitleChar"/>
        </w:rPr>
        <w:t>Discussion and decision</w:t>
      </w:r>
    </w:p>
    <w:p w14:paraId="019ADF0A" w14:textId="47F3C4E3" w:rsidR="00024A3E" w:rsidRPr="00D17B55" w:rsidRDefault="00024A3E" w:rsidP="00024A3E">
      <w:pPr>
        <w:keepNext/>
        <w:keepLines/>
        <w:spacing w:before="180"/>
        <w:jc w:val="both"/>
        <w:outlineLvl w:val="1"/>
        <w:rPr>
          <w:rFonts w:ascii="Arial" w:hAnsi="Arial"/>
          <w:sz w:val="32"/>
        </w:rPr>
      </w:pPr>
      <w:r>
        <w:rPr>
          <w:rFonts w:ascii="Arial" w:hAnsi="Arial"/>
          <w:sz w:val="32"/>
        </w:rPr>
        <w:t>1</w:t>
      </w:r>
      <w:r w:rsidRPr="00D17B55">
        <w:rPr>
          <w:rFonts w:ascii="Arial" w:hAnsi="Arial"/>
          <w:sz w:val="32"/>
        </w:rPr>
        <w:t>. Introduction</w:t>
      </w:r>
    </w:p>
    <w:p w14:paraId="2D6B45FF" w14:textId="77777777" w:rsidR="00024A3E" w:rsidRDefault="00024A3E" w:rsidP="00024A3E">
      <w:r w:rsidRPr="00D17B55">
        <w:t>This contribution provides our view on additional enhancements for simultaneous operation of IAB-node's child and parent links in the context of the Rel-17 IAB WID objectives. Specifically, it addresses potential additional timing modes, power control, and interference management.</w:t>
      </w:r>
    </w:p>
    <w:p w14:paraId="4CE66246" w14:textId="77777777" w:rsidR="00FD1CF2" w:rsidRPr="00D17B55" w:rsidRDefault="00FD1CF2" w:rsidP="00FD1CF2">
      <w:pPr>
        <w:keepNext/>
        <w:keepLines/>
        <w:spacing w:before="180"/>
        <w:outlineLvl w:val="1"/>
        <w:rPr>
          <w:rFonts w:ascii="Arial" w:hAnsi="Arial"/>
          <w:sz w:val="32"/>
        </w:rPr>
      </w:pPr>
      <w:bookmarkStart w:id="1" w:name="_Hlk32401284"/>
      <w:bookmarkStart w:id="2" w:name="_Hlk24102609"/>
      <w:r w:rsidRPr="00D17B55">
        <w:rPr>
          <w:rFonts w:ascii="Arial" w:hAnsi="Arial"/>
          <w:sz w:val="32"/>
        </w:rPr>
        <w:t>2. Timing modes</w:t>
      </w:r>
    </w:p>
    <w:p w14:paraId="3D5506B3" w14:textId="77777777" w:rsidR="00FD1CF2" w:rsidRDefault="00FD1CF2" w:rsidP="00FD1CF2">
      <w:r>
        <w:t>RAN1 #105-e agreed to the following,</w:t>
      </w:r>
    </w:p>
    <w:tbl>
      <w:tblPr>
        <w:tblStyle w:val="TableGrid"/>
        <w:tblW w:w="0" w:type="auto"/>
        <w:tblLook w:val="04A0" w:firstRow="1" w:lastRow="0" w:firstColumn="1" w:lastColumn="0" w:noHBand="0" w:noVBand="1"/>
      </w:tblPr>
      <w:tblGrid>
        <w:gridCol w:w="9629"/>
      </w:tblGrid>
      <w:tr w:rsidR="00FD1CF2" w14:paraId="0549875B" w14:textId="77777777" w:rsidTr="008E78D2">
        <w:tc>
          <w:tcPr>
            <w:tcW w:w="9629" w:type="dxa"/>
          </w:tcPr>
          <w:p w14:paraId="01EED0C1" w14:textId="77777777" w:rsidR="00FD1CF2" w:rsidRPr="00C13FEE" w:rsidRDefault="00FD1CF2" w:rsidP="008E78D2">
            <w:pPr>
              <w:rPr>
                <w:b/>
                <w:bCs/>
                <w:highlight w:val="yellow"/>
              </w:rPr>
            </w:pPr>
            <w:r w:rsidRPr="00C13FEE">
              <w:rPr>
                <w:b/>
                <w:bCs/>
                <w:highlight w:val="green"/>
              </w:rPr>
              <w:t>Agreement</w:t>
            </w:r>
          </w:p>
          <w:p w14:paraId="41CB39C8" w14:textId="77777777" w:rsidR="00FD1CF2" w:rsidRPr="00C13FEE" w:rsidRDefault="00FD1CF2" w:rsidP="008E78D2">
            <w:pPr>
              <w:rPr>
                <w:b/>
                <w:bCs/>
                <w:color w:val="000000"/>
              </w:rPr>
            </w:pPr>
            <w:r w:rsidRPr="00C13FEE">
              <w:rPr>
                <w:b/>
                <w:bCs/>
                <w:color w:val="000000"/>
              </w:rPr>
              <w:t>RAN1 to downselect how the IAB-MT Tx timing is set for Case 6 timing at a given IAB-node:</w:t>
            </w:r>
          </w:p>
          <w:p w14:paraId="2C7473F1"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Alt1: the IAB-MT Tx timing is obtained by the node via the legacy TA loop plus an offset from the parent node.</w:t>
            </w:r>
          </w:p>
          <w:p w14:paraId="0A90BD92" w14:textId="77777777" w:rsidR="00FD1CF2" w:rsidRPr="00C13FEE" w:rsidRDefault="00FD1CF2" w:rsidP="00FD1CF2">
            <w:pPr>
              <w:pStyle w:val="ListParagraph"/>
              <w:numPr>
                <w:ilvl w:val="1"/>
                <w:numId w:val="24"/>
              </w:numPr>
              <w:overflowPunct/>
              <w:autoSpaceDE/>
              <w:autoSpaceDN/>
              <w:adjustRightInd/>
              <w:spacing w:after="0"/>
              <w:rPr>
                <w:b/>
                <w:bCs/>
              </w:rPr>
            </w:pPr>
            <w:r w:rsidRPr="00C13FEE">
              <w:rPr>
                <w:b/>
                <w:bCs/>
              </w:rPr>
              <w:t>FFS details of the required offset.</w:t>
            </w:r>
          </w:p>
          <w:p w14:paraId="6DC5356C"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Alt2: the IAB-MT Tx timing is set by the node to the timing obtained for the node’s DL Tx.</w:t>
            </w:r>
          </w:p>
          <w:p w14:paraId="419F5098"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Alt3: the IAB-MT Tx timing is obtained by the node jointly with the IAB-DU Tx timing via a common offset from the parent node.</w:t>
            </w:r>
          </w:p>
          <w:p w14:paraId="17E3A17A" w14:textId="77777777" w:rsidR="00FD1CF2" w:rsidRPr="00C13FEE" w:rsidRDefault="00FD1CF2" w:rsidP="008E78D2">
            <w:pPr>
              <w:rPr>
                <w:b/>
                <w:bCs/>
                <w:lang w:eastAsia="zh-CN"/>
              </w:rPr>
            </w:pPr>
            <w:r w:rsidRPr="00C13FEE">
              <w:rPr>
                <w:b/>
                <w:bCs/>
                <w:lang w:eastAsia="zh-CN"/>
              </w:rPr>
              <w:t>Downselection to consider at least the following aspects:</w:t>
            </w:r>
          </w:p>
          <w:p w14:paraId="12B67906"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Dependency of DL synchronization schemes at the IAB-DU</w:t>
            </w:r>
          </w:p>
          <w:p w14:paraId="7D4D9B64"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Potential additional signaling overhead.</w:t>
            </w:r>
          </w:p>
          <w:p w14:paraId="254F3EB8" w14:textId="77777777" w:rsidR="00FD1CF2" w:rsidRPr="00C13FEE" w:rsidRDefault="00FD1CF2" w:rsidP="00FD1CF2">
            <w:pPr>
              <w:pStyle w:val="ListParagraph"/>
              <w:numPr>
                <w:ilvl w:val="0"/>
                <w:numId w:val="24"/>
              </w:numPr>
              <w:overflowPunct/>
              <w:autoSpaceDE/>
              <w:autoSpaceDN/>
              <w:adjustRightInd/>
              <w:spacing w:after="0"/>
              <w:rPr>
                <w:b/>
                <w:bCs/>
              </w:rPr>
            </w:pPr>
            <w:r w:rsidRPr="00C13FEE">
              <w:rPr>
                <w:b/>
                <w:bCs/>
              </w:rPr>
              <w:t>Achievable DU Tx / MT Tx alignment error tolerance.</w:t>
            </w:r>
          </w:p>
          <w:p w14:paraId="6C25E831" w14:textId="77777777" w:rsidR="00FD1CF2" w:rsidRPr="00C13FEE" w:rsidRDefault="00FD1CF2" w:rsidP="00FD1CF2">
            <w:pPr>
              <w:pStyle w:val="ListParagraph"/>
              <w:numPr>
                <w:ilvl w:val="0"/>
                <w:numId w:val="24"/>
              </w:numPr>
              <w:overflowPunct/>
              <w:autoSpaceDE/>
              <w:autoSpaceDN/>
              <w:adjustRightInd/>
              <w:spacing w:after="0"/>
              <w:rPr>
                <w:rFonts w:cs="Times"/>
                <w:b/>
                <w:bCs/>
              </w:rPr>
            </w:pPr>
            <w:r w:rsidRPr="00C13FEE">
              <w:rPr>
                <w:b/>
                <w:bCs/>
              </w:rPr>
              <w:t>Suitability for switching between timing modes.</w:t>
            </w:r>
          </w:p>
        </w:tc>
      </w:tr>
    </w:tbl>
    <w:p w14:paraId="70DA62BB" w14:textId="77777777" w:rsidR="00FD1CF2" w:rsidRDefault="00FD1CF2" w:rsidP="00FD1CF2"/>
    <w:tbl>
      <w:tblPr>
        <w:tblStyle w:val="TableGrid"/>
        <w:tblW w:w="0" w:type="auto"/>
        <w:tblLook w:val="04A0" w:firstRow="1" w:lastRow="0" w:firstColumn="1" w:lastColumn="0" w:noHBand="0" w:noVBand="1"/>
      </w:tblPr>
      <w:tblGrid>
        <w:gridCol w:w="9629"/>
      </w:tblGrid>
      <w:tr w:rsidR="00FD1CF2" w14:paraId="74E4A498" w14:textId="77777777" w:rsidTr="008E78D2">
        <w:tc>
          <w:tcPr>
            <w:tcW w:w="9629" w:type="dxa"/>
          </w:tcPr>
          <w:p w14:paraId="050A9460" w14:textId="77777777" w:rsidR="00FD1CF2" w:rsidRPr="00C13FEE" w:rsidRDefault="00FD1CF2" w:rsidP="008E78D2">
            <w:pPr>
              <w:rPr>
                <w:b/>
                <w:bCs/>
                <w:highlight w:val="yellow"/>
              </w:rPr>
            </w:pPr>
            <w:r w:rsidRPr="00C13FEE">
              <w:rPr>
                <w:b/>
                <w:bCs/>
                <w:highlight w:val="green"/>
              </w:rPr>
              <w:t>Agreement</w:t>
            </w:r>
          </w:p>
          <w:p w14:paraId="01EAE4D8" w14:textId="77777777" w:rsidR="00FD1CF2" w:rsidRPr="00C13FEE" w:rsidRDefault="00FD1CF2" w:rsidP="008E78D2">
            <w:pPr>
              <w:rPr>
                <w:b/>
                <w:color w:val="000000"/>
              </w:rPr>
            </w:pPr>
            <w:r w:rsidRPr="00C13FEE">
              <w:rPr>
                <w:b/>
                <w:color w:val="000000"/>
              </w:rPr>
              <w:t>RAN1 to downselect how the IAB-MT Tx timing is set at an IAB-node for Case 7 timing at the parent node:</w:t>
            </w:r>
          </w:p>
          <w:p w14:paraId="2B59EE43" w14:textId="77777777" w:rsidR="00FD1CF2" w:rsidRPr="00C13FEE"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t>Alt1: the IAB-MT Tx timing of the node is obtained via the legacy TA loop plus an offset from the parent node.</w:t>
            </w:r>
          </w:p>
          <w:p w14:paraId="3416583C" w14:textId="77777777" w:rsidR="00FD1CF2" w:rsidRPr="00C13FEE" w:rsidRDefault="00FD1CF2" w:rsidP="00FD1CF2">
            <w:pPr>
              <w:pStyle w:val="ListParagraph"/>
              <w:numPr>
                <w:ilvl w:val="1"/>
                <w:numId w:val="36"/>
              </w:numPr>
              <w:overflowPunct/>
              <w:autoSpaceDE/>
              <w:autoSpaceDN/>
              <w:adjustRightInd/>
              <w:spacing w:after="0"/>
              <w:textAlignment w:val="auto"/>
              <w:rPr>
                <w:b/>
                <w:color w:val="000000"/>
              </w:rPr>
            </w:pPr>
            <w:r w:rsidRPr="00C13FEE">
              <w:rPr>
                <w:b/>
                <w:color w:val="000000"/>
              </w:rPr>
              <w:t>FFS details of the required offset</w:t>
            </w:r>
          </w:p>
          <w:p w14:paraId="5843C2BF" w14:textId="77777777" w:rsidR="00FD1CF2" w:rsidRPr="00C13FEE"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t>Alt2: the IAB-MT Tx timing of the node is obtained via the legacy TA loop from the parent node.</w:t>
            </w:r>
          </w:p>
          <w:p w14:paraId="3A930822" w14:textId="77777777" w:rsidR="00FD1CF2" w:rsidRPr="00C13FEE" w:rsidRDefault="00FD1CF2" w:rsidP="00FD1CF2">
            <w:pPr>
              <w:pStyle w:val="ListParagraph"/>
              <w:numPr>
                <w:ilvl w:val="0"/>
                <w:numId w:val="36"/>
              </w:numPr>
              <w:overflowPunct/>
              <w:autoSpaceDE/>
              <w:autoSpaceDN/>
              <w:adjustRightInd/>
              <w:spacing w:after="0"/>
              <w:textAlignment w:val="auto"/>
              <w:rPr>
                <w:b/>
                <w:i/>
                <w:color w:val="000000"/>
              </w:rPr>
            </w:pPr>
            <w:r w:rsidRPr="00C13FEE">
              <w:rPr>
                <w:rStyle w:val="Emphasis"/>
                <w:b/>
              </w:rPr>
              <w:t>Alt3: the IAB-MT Tx timing of the node is obtained via a Case 7 specific TA loop from the parent node.</w:t>
            </w:r>
          </w:p>
          <w:p w14:paraId="35ABC5A9" w14:textId="77777777" w:rsidR="00FD1CF2" w:rsidRPr="00C13FEE" w:rsidRDefault="00FD1CF2" w:rsidP="008E78D2">
            <w:pPr>
              <w:rPr>
                <w:b/>
              </w:rPr>
            </w:pPr>
            <w:r w:rsidRPr="00C13FEE">
              <w:rPr>
                <w:b/>
              </w:rPr>
              <w:t>Downselection to consider at least the following aspects:</w:t>
            </w:r>
          </w:p>
          <w:p w14:paraId="19CABEE9" w14:textId="77777777" w:rsidR="00FD1CF2" w:rsidRPr="00C13FEE"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t>Potential impact to OTA synchronization availability for DU Tx at the IAB-node.</w:t>
            </w:r>
          </w:p>
          <w:p w14:paraId="120AB44F" w14:textId="77777777" w:rsidR="00FD1CF2" w:rsidRPr="00C13FEE"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t>Potential additional signaling overhead.</w:t>
            </w:r>
          </w:p>
          <w:p w14:paraId="3FB3EF00" w14:textId="77777777" w:rsidR="00FD1CF2" w:rsidRPr="003646B2"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t>Suitability for switching between timing modes.</w:t>
            </w:r>
          </w:p>
        </w:tc>
      </w:tr>
    </w:tbl>
    <w:p w14:paraId="028B5402" w14:textId="77777777" w:rsidR="00FD1CF2" w:rsidRPr="00D17B55" w:rsidRDefault="00FD1CF2" w:rsidP="00FD1CF2">
      <w:pPr>
        <w:tabs>
          <w:tab w:val="left" w:pos="942"/>
        </w:tabs>
      </w:pPr>
      <w:r>
        <w:tab/>
      </w:r>
    </w:p>
    <w:tbl>
      <w:tblPr>
        <w:tblStyle w:val="TableGrid"/>
        <w:tblW w:w="0" w:type="auto"/>
        <w:tblLook w:val="04A0" w:firstRow="1" w:lastRow="0" w:firstColumn="1" w:lastColumn="0" w:noHBand="0" w:noVBand="1"/>
      </w:tblPr>
      <w:tblGrid>
        <w:gridCol w:w="9629"/>
      </w:tblGrid>
      <w:tr w:rsidR="00FD1CF2" w14:paraId="5DD004AF" w14:textId="77777777" w:rsidTr="008E78D2">
        <w:tc>
          <w:tcPr>
            <w:tcW w:w="9629" w:type="dxa"/>
          </w:tcPr>
          <w:p w14:paraId="36227CB6" w14:textId="77777777" w:rsidR="00FD1CF2" w:rsidRPr="00C13FEE" w:rsidRDefault="00FD1CF2" w:rsidP="008E78D2">
            <w:pPr>
              <w:rPr>
                <w:b/>
                <w:bCs/>
                <w:highlight w:val="yellow"/>
              </w:rPr>
            </w:pPr>
            <w:r w:rsidRPr="00C13FEE">
              <w:rPr>
                <w:b/>
                <w:bCs/>
                <w:highlight w:val="green"/>
              </w:rPr>
              <w:t>Agreement</w:t>
            </w:r>
          </w:p>
          <w:p w14:paraId="64171D7F" w14:textId="77777777" w:rsidR="00FD1CF2" w:rsidRPr="00C13FEE" w:rsidRDefault="00FD1CF2" w:rsidP="008E78D2">
            <w:pPr>
              <w:rPr>
                <w:b/>
              </w:rPr>
            </w:pPr>
            <w:r w:rsidRPr="00C13FEE">
              <w:rPr>
                <w:b/>
              </w:rPr>
              <w:t>An IAB-node is indicated when Case 6 timing is performed at the IAB-node.</w:t>
            </w:r>
          </w:p>
          <w:p w14:paraId="65D377A3" w14:textId="77777777" w:rsidR="00FD1CF2" w:rsidRPr="00C13FEE" w:rsidRDefault="00FD1CF2" w:rsidP="00FD1CF2">
            <w:pPr>
              <w:pStyle w:val="ListParagraph"/>
              <w:numPr>
                <w:ilvl w:val="0"/>
                <w:numId w:val="36"/>
              </w:numPr>
              <w:overflowPunct/>
              <w:autoSpaceDE/>
              <w:autoSpaceDN/>
              <w:adjustRightInd/>
              <w:spacing w:after="0"/>
              <w:textAlignment w:val="auto"/>
              <w:rPr>
                <w:b/>
                <w:color w:val="000000"/>
              </w:rPr>
            </w:pPr>
            <w:r w:rsidRPr="00C13FEE">
              <w:rPr>
                <w:b/>
                <w:color w:val="000000"/>
              </w:rPr>
              <w:lastRenderedPageBreak/>
              <w:t>FFS details of the indication (e.g. semi-static and/or dynamic, implicit and/or explicit, linkage to multiplexing capability, etc.).</w:t>
            </w:r>
          </w:p>
          <w:p w14:paraId="7CA194A2" w14:textId="77777777" w:rsidR="00FD1CF2" w:rsidRPr="001C4969" w:rsidRDefault="00FD1CF2" w:rsidP="008E78D2">
            <w:pPr>
              <w:rPr>
                <w:b/>
                <w:bCs/>
              </w:rPr>
            </w:pPr>
            <w:r w:rsidRPr="00C13FEE">
              <w:rPr>
                <w:b/>
                <w:color w:val="000000"/>
              </w:rPr>
              <w:t>FFS whether an IAB-node is also indicated when Case 7 timing is performed at the IAB-node.</w:t>
            </w:r>
          </w:p>
        </w:tc>
      </w:tr>
    </w:tbl>
    <w:p w14:paraId="105094E7" w14:textId="77777777" w:rsidR="00FD1CF2" w:rsidRDefault="00FD1CF2" w:rsidP="00FD1CF2"/>
    <w:p w14:paraId="7E6D27E6" w14:textId="77777777" w:rsidR="00FD1CF2" w:rsidRDefault="00FD1CF2" w:rsidP="00FD1CF2">
      <w:r>
        <w:t>In all the timing cases, the DU TX timing is the same (aligned with DU TX timing of Case 1), but the MT UL TX timing may need to be adjusted. Let us consider the most general case, where we support all three cases for the operation of an IAB-node.</w:t>
      </w:r>
    </w:p>
    <w:p w14:paraId="3CA0956C" w14:textId="77777777" w:rsidR="00FD1CF2" w:rsidRDefault="00FD1CF2" w:rsidP="00FD1CF2">
      <w:r>
        <w:t xml:space="preserve">In a first scenario, e.g., a first set of time resources, the parent-node may decide to adopt Case 1 timing only and align the UL RX timing from its child nodes at </w:t>
      </w:r>
      <m:oMath>
        <m:r>
          <m:rPr>
            <m:sty m:val="p"/>
          </m:rPr>
          <w:rPr>
            <w:rFonts w:ascii="Cambria Math" w:hAnsi="Cambria Math"/>
          </w:rPr>
          <m:t>Δ</m:t>
        </m:r>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delta</m:t>
            </m:r>
          </m:sub>
        </m:sSub>
      </m:oMath>
      <w:r>
        <w:t xml:space="preserve"> offset with respect to its fixed DL TX timing. (</w:t>
      </w:r>
      <w:r>
        <w:fldChar w:fldCharType="begin"/>
      </w:r>
      <w:r>
        <w:instrText xml:space="preserve"> REF _Ref54299727 \h </w:instrText>
      </w:r>
      <w:r>
        <w:fldChar w:fldCharType="separate"/>
      </w:r>
      <w:r>
        <w:t xml:space="preserve">Figure </w:t>
      </w:r>
      <w:r>
        <w:rPr>
          <w:noProof/>
        </w:rPr>
        <w:t>1</w:t>
      </w:r>
      <w:r>
        <w:fldChar w:fldCharType="end"/>
      </w:r>
      <w:r>
        <w:t>)</w:t>
      </w:r>
    </w:p>
    <w:p w14:paraId="7791153E" w14:textId="77777777" w:rsidR="00FD1CF2" w:rsidRDefault="00FD1CF2" w:rsidP="00FD1CF2">
      <w:r>
        <w:t>In a second scenario, e.g., a second set of time resources, the parent-node may decide to adopt Case 7 timing and align UL RX timing from its child nodes with DL RX timing from its own parent-node. Compared to the first scenario, the UL TX timing of the child nodes should be shifted by an offset value P1 which depends on the propagation delay between the parent-node and its own parent-node. Among the three alternatives in the second agreement above, we propose to adopt Alt1:</w:t>
      </w:r>
    </w:p>
    <w:p w14:paraId="13E8D088" w14:textId="77777777" w:rsidR="00FD1CF2" w:rsidRPr="00586FA2" w:rsidRDefault="00FD1CF2" w:rsidP="00FD1CF2">
      <w:pPr>
        <w:pStyle w:val="ListParagraph"/>
        <w:numPr>
          <w:ilvl w:val="0"/>
          <w:numId w:val="36"/>
        </w:numPr>
        <w:overflowPunct/>
        <w:autoSpaceDE/>
        <w:autoSpaceDN/>
        <w:adjustRightInd/>
        <w:spacing w:after="0"/>
        <w:textAlignment w:val="auto"/>
        <w:rPr>
          <w:bCs/>
          <w:color w:val="000000"/>
          <w:szCs w:val="18"/>
          <w:u w:val="single"/>
        </w:rPr>
      </w:pPr>
      <w:r w:rsidRPr="00586FA2">
        <w:rPr>
          <w:bCs/>
          <w:color w:val="000000"/>
          <w:szCs w:val="18"/>
          <w:u w:val="single"/>
        </w:rPr>
        <w:t>Alt1: [</w:t>
      </w:r>
      <w:bookmarkStart w:id="3" w:name="_Hlk79093113"/>
      <w:r w:rsidRPr="00586FA2">
        <w:rPr>
          <w:bCs/>
          <w:color w:val="000000"/>
          <w:u w:val="single"/>
        </w:rPr>
        <w:t>for Case 7 timing at the parent node</w:t>
      </w:r>
      <w:r w:rsidRPr="00586FA2">
        <w:rPr>
          <w:bCs/>
          <w:color w:val="000000"/>
          <w:szCs w:val="18"/>
          <w:u w:val="single"/>
        </w:rPr>
        <w:t>] the IAB-MT Tx timing of the node is obtained via the legacy TA loop plus an offset from the parent node</w:t>
      </w:r>
      <w:bookmarkEnd w:id="3"/>
      <w:r w:rsidRPr="00586FA2">
        <w:rPr>
          <w:bCs/>
          <w:color w:val="000000"/>
          <w:szCs w:val="18"/>
          <w:u w:val="single"/>
        </w:rPr>
        <w:t>.</w:t>
      </w:r>
    </w:p>
    <w:p w14:paraId="65949F2F" w14:textId="77777777" w:rsidR="00FD1CF2" w:rsidRDefault="00FD1CF2" w:rsidP="00FD1CF2">
      <w:r>
        <w:t>This offset should capture P1 in the above example. Compared to other alternatives, we make the following observations:</w:t>
      </w:r>
    </w:p>
    <w:p w14:paraId="11ABCD9B" w14:textId="77777777" w:rsidR="00FD1CF2" w:rsidRDefault="00FD1CF2" w:rsidP="00FD1CF2">
      <w:pPr>
        <w:pStyle w:val="ListParagraph"/>
        <w:numPr>
          <w:ilvl w:val="0"/>
          <w:numId w:val="37"/>
        </w:numPr>
      </w:pPr>
      <w:r>
        <w:t xml:space="preserve">The offset should be </w:t>
      </w:r>
      <w:r w:rsidRPr="00E71984">
        <w:rPr>
          <w:u w:val="single"/>
        </w:rPr>
        <w:t>optional</w:t>
      </w:r>
      <w:r>
        <w:t>. That is, if no offset is indicated, a default value of 0 should be assumed. In this case, Alt1 reduces to Alt2. Hence Alt1 is more flexible and more general than Alt2.</w:t>
      </w:r>
    </w:p>
    <w:p w14:paraId="06FB6CA2" w14:textId="77777777" w:rsidR="00FD1CF2" w:rsidRPr="00195C2C" w:rsidRDefault="00FD1CF2" w:rsidP="00FD1CF2">
      <w:pPr>
        <w:pStyle w:val="ListParagraph"/>
        <w:numPr>
          <w:ilvl w:val="0"/>
          <w:numId w:val="37"/>
        </w:numPr>
      </w:pPr>
      <w:r>
        <w:t xml:space="preserve">The offset value is not expected to change dynamically. Hence (1) it can be indicated </w:t>
      </w:r>
      <w:r w:rsidRPr="00E140F4">
        <w:rPr>
          <w:u w:val="single"/>
        </w:rPr>
        <w:t>semi-statically</w:t>
      </w:r>
      <w:r>
        <w:t xml:space="preserve">, and (2) Alt3 that requires dynamic TA command will be inefficient when e.g., two dynamic TA loops (one for Case 1 and one for Case 7) should be maintained. </w:t>
      </w:r>
    </w:p>
    <w:p w14:paraId="7683349A" w14:textId="77777777" w:rsidR="00FD1CF2" w:rsidRDefault="00FD1CF2" w:rsidP="00FD1CF2"/>
    <w:p w14:paraId="2285E92A" w14:textId="77777777" w:rsidR="00FD1CF2" w:rsidRPr="00D17B55" w:rsidRDefault="00FD1CF2" w:rsidP="00FD1CF2">
      <w:pPr>
        <w:jc w:val="both"/>
        <w:rPr>
          <w:b/>
          <w:bCs/>
        </w:rPr>
      </w:pPr>
      <w:r w:rsidRPr="00D17B55">
        <w:rPr>
          <w:b/>
          <w:bCs/>
          <w:u w:val="single"/>
        </w:rPr>
        <w:t xml:space="preserve">Observation </w:t>
      </w:r>
      <w:r>
        <w:rPr>
          <w:b/>
          <w:bCs/>
          <w:u w:val="single"/>
        </w:rPr>
        <w:t>2.1</w:t>
      </w:r>
      <w:r w:rsidRPr="00D17B55">
        <w:rPr>
          <w:b/>
          <w:bCs/>
          <w:u w:val="single"/>
        </w:rPr>
        <w:t>:</w:t>
      </w:r>
      <w:r w:rsidRPr="00D17B55">
        <w:rPr>
          <w:b/>
          <w:bCs/>
        </w:rPr>
        <w:t xml:space="preserve"> </w:t>
      </w:r>
    </w:p>
    <w:p w14:paraId="064EB56C" w14:textId="77777777" w:rsidR="00FD1CF2" w:rsidRDefault="00FD1CF2" w:rsidP="00FD1CF2">
      <w:pPr>
        <w:rPr>
          <w:b/>
          <w:bCs/>
        </w:rPr>
      </w:pPr>
      <w:r>
        <w:rPr>
          <w:b/>
          <w:bCs/>
        </w:rPr>
        <w:t>F</w:t>
      </w:r>
      <w:r w:rsidRPr="00FE1DF4">
        <w:rPr>
          <w:b/>
          <w:bCs/>
        </w:rPr>
        <w:t xml:space="preserve">or Case 7 timing at </w:t>
      </w:r>
      <w:r>
        <w:rPr>
          <w:b/>
          <w:bCs/>
        </w:rPr>
        <w:t>an IAB-</w:t>
      </w:r>
      <w:r w:rsidRPr="00FE1DF4">
        <w:rPr>
          <w:b/>
          <w:bCs/>
        </w:rPr>
        <w:t>node</w:t>
      </w:r>
      <w:r>
        <w:rPr>
          <w:b/>
          <w:bCs/>
        </w:rPr>
        <w:t>:</w:t>
      </w:r>
    </w:p>
    <w:p w14:paraId="14929673" w14:textId="77777777" w:rsidR="00FD1CF2" w:rsidRPr="00F834D4" w:rsidRDefault="00FD1CF2" w:rsidP="00FD1CF2">
      <w:pPr>
        <w:pStyle w:val="ListParagraph"/>
        <w:numPr>
          <w:ilvl w:val="0"/>
          <w:numId w:val="37"/>
        </w:numPr>
      </w:pPr>
      <w:r>
        <w:rPr>
          <w:b/>
        </w:rPr>
        <w:t>The offset with respect to Case 1 UL timing at a child-node is not expected to change dynamically, since it is associated with the propagation delay between the IAB-node and its parent node.</w:t>
      </w:r>
    </w:p>
    <w:p w14:paraId="56A285AE" w14:textId="77777777" w:rsidR="00FD1CF2" w:rsidRPr="0064116B" w:rsidRDefault="00FD1CF2" w:rsidP="00FD1CF2">
      <w:pPr>
        <w:pStyle w:val="ListParagraph"/>
        <w:numPr>
          <w:ilvl w:val="0"/>
          <w:numId w:val="37"/>
        </w:numPr>
      </w:pPr>
      <w:r>
        <w:rPr>
          <w:b/>
        </w:rPr>
        <w:t>In case of switching between Case 1 and Case 7, maintaining two separate dynamic TA loops (as suggested in Alt3) is inefficient.</w:t>
      </w:r>
    </w:p>
    <w:p w14:paraId="33EF3E20" w14:textId="77777777" w:rsidR="00FD1CF2" w:rsidRPr="002F71AA" w:rsidRDefault="00FD1CF2" w:rsidP="00FD1CF2">
      <w:pPr>
        <w:pStyle w:val="ListParagraph"/>
        <w:numPr>
          <w:ilvl w:val="0"/>
          <w:numId w:val="37"/>
        </w:numPr>
      </w:pPr>
      <w:r>
        <w:rPr>
          <w:b/>
        </w:rPr>
        <w:t>Alt1 without indication of the offset value reduces to Alt2.</w:t>
      </w:r>
    </w:p>
    <w:p w14:paraId="7C2F2A43" w14:textId="77777777" w:rsidR="00FD1CF2" w:rsidRDefault="00FD1CF2" w:rsidP="00FD1CF2"/>
    <w:p w14:paraId="387547F9" w14:textId="77777777" w:rsidR="00FD1CF2" w:rsidRPr="00D17B55" w:rsidRDefault="00FD1CF2" w:rsidP="00FD1CF2">
      <w:pPr>
        <w:jc w:val="both"/>
        <w:rPr>
          <w:b/>
          <w:bCs/>
        </w:rPr>
      </w:pPr>
      <w:r>
        <w:rPr>
          <w:b/>
          <w:bCs/>
          <w:u w:val="single"/>
        </w:rPr>
        <w:t>Proposal</w:t>
      </w:r>
      <w:r w:rsidRPr="00D17B55">
        <w:rPr>
          <w:b/>
          <w:bCs/>
          <w:u w:val="single"/>
        </w:rPr>
        <w:t xml:space="preserve"> </w:t>
      </w:r>
      <w:r>
        <w:rPr>
          <w:b/>
          <w:bCs/>
          <w:u w:val="single"/>
        </w:rPr>
        <w:t>2.1</w:t>
      </w:r>
      <w:r w:rsidRPr="00D17B55">
        <w:rPr>
          <w:b/>
          <w:bCs/>
          <w:u w:val="single"/>
        </w:rPr>
        <w:t>:</w:t>
      </w:r>
      <w:r w:rsidRPr="00D17B55">
        <w:rPr>
          <w:b/>
          <w:bCs/>
        </w:rPr>
        <w:t xml:space="preserve"> </w:t>
      </w:r>
    </w:p>
    <w:p w14:paraId="0656EA36" w14:textId="77777777" w:rsidR="00FD1CF2" w:rsidRDefault="00FD1CF2" w:rsidP="00FD1CF2">
      <w:pPr>
        <w:rPr>
          <w:b/>
          <w:bCs/>
        </w:rPr>
      </w:pPr>
      <w:r>
        <w:rPr>
          <w:b/>
          <w:bCs/>
        </w:rPr>
        <w:t xml:space="preserve">Adopt Alt1 for Case 7 timing: </w:t>
      </w:r>
    </w:p>
    <w:p w14:paraId="4F63C96C" w14:textId="77777777" w:rsidR="00FD1CF2" w:rsidRDefault="00FD1CF2" w:rsidP="00FD1CF2">
      <w:pPr>
        <w:pStyle w:val="ListParagraph"/>
        <w:numPr>
          <w:ilvl w:val="0"/>
          <w:numId w:val="37"/>
        </w:numPr>
        <w:rPr>
          <w:b/>
          <w:bCs/>
        </w:rPr>
      </w:pPr>
      <w:r>
        <w:rPr>
          <w:b/>
          <w:bCs/>
        </w:rPr>
        <w:t>T</w:t>
      </w:r>
      <w:r w:rsidRPr="00053E48">
        <w:rPr>
          <w:b/>
          <w:bCs/>
        </w:rPr>
        <w:t xml:space="preserve">he IAB-MT Tx timing of </w:t>
      </w:r>
      <w:r>
        <w:rPr>
          <w:b/>
          <w:bCs/>
        </w:rPr>
        <w:t>a</w:t>
      </w:r>
      <w:r w:rsidRPr="00053E48">
        <w:rPr>
          <w:b/>
          <w:bCs/>
        </w:rPr>
        <w:t xml:space="preserve"> node is obtained via the legacy TA loop plus an offset from the parent node</w:t>
      </w:r>
      <w:r>
        <w:rPr>
          <w:b/>
          <w:bCs/>
        </w:rPr>
        <w:t>.</w:t>
      </w:r>
    </w:p>
    <w:p w14:paraId="423309BA" w14:textId="77777777" w:rsidR="00FD1CF2" w:rsidRPr="00053E48" w:rsidRDefault="00FD1CF2" w:rsidP="00FD1CF2">
      <w:pPr>
        <w:pStyle w:val="ListParagraph"/>
        <w:numPr>
          <w:ilvl w:val="0"/>
          <w:numId w:val="37"/>
        </w:numPr>
        <w:rPr>
          <w:b/>
          <w:bCs/>
        </w:rPr>
      </w:pPr>
      <w:r>
        <w:rPr>
          <w:b/>
          <w:bCs/>
        </w:rPr>
        <w:t xml:space="preserve">Assume offset is equal to zero, if it is not indicated. </w:t>
      </w:r>
    </w:p>
    <w:p w14:paraId="3B090813" w14:textId="77777777" w:rsidR="00FD1CF2" w:rsidRDefault="00FD1CF2" w:rsidP="00FD1CF2"/>
    <w:p w14:paraId="6487A322" w14:textId="77777777" w:rsidR="00FD1CF2" w:rsidRDefault="00FD1CF2" w:rsidP="00FD1CF2">
      <w:r>
        <w:t>In a third scenario, e.g., a third set of time resources, the parent-node may allow a child-node to adopt Case 6 (presumably in response to a request from the chid-node). In this case, the child-node’s MT UL TX timing should be adjusted such that it is aligned with the DL TX timing. Among the listed alternatives for Case 6, we propose to adopt Alt2:</w:t>
      </w:r>
    </w:p>
    <w:p w14:paraId="428A2E36" w14:textId="77777777" w:rsidR="00FD1CF2" w:rsidRPr="00A56982" w:rsidRDefault="00FD1CF2" w:rsidP="00FD1CF2">
      <w:pPr>
        <w:numPr>
          <w:ilvl w:val="0"/>
          <w:numId w:val="24"/>
        </w:numPr>
        <w:rPr>
          <w:bCs/>
          <w:u w:val="single"/>
        </w:rPr>
      </w:pPr>
      <w:r w:rsidRPr="00A56982">
        <w:rPr>
          <w:bCs/>
          <w:u w:val="single"/>
        </w:rPr>
        <w:t xml:space="preserve">Alt2: </w:t>
      </w:r>
      <w:r w:rsidRPr="00946975">
        <w:rPr>
          <w:bCs/>
          <w:u w:val="single"/>
        </w:rPr>
        <w:t xml:space="preserve">[for Case 6 timing at a given IAB-node] </w:t>
      </w:r>
      <w:r w:rsidRPr="00A56982">
        <w:rPr>
          <w:bCs/>
          <w:u w:val="single"/>
        </w:rPr>
        <w:t>the IAB-MT Tx timing is set by the node to the timing obtained for the node’s DL Tx.</w:t>
      </w:r>
    </w:p>
    <w:p w14:paraId="4A1BA5CF" w14:textId="4A8BA8DC" w:rsidR="00FD1CF2" w:rsidRDefault="00FD1CF2" w:rsidP="00FD1CF2"/>
    <w:p w14:paraId="6AD9EBE4" w14:textId="453B8037" w:rsidR="005235F9" w:rsidRDefault="005235F9" w:rsidP="00FD1CF2"/>
    <w:p w14:paraId="16B29786" w14:textId="77777777" w:rsidR="005235F9" w:rsidRDefault="005235F9" w:rsidP="00FD1CF2"/>
    <w:p w14:paraId="21B4C806" w14:textId="77777777" w:rsidR="00FD1CF2" w:rsidRPr="00D17B55" w:rsidRDefault="00FD1CF2" w:rsidP="00FD1CF2">
      <w:pPr>
        <w:jc w:val="both"/>
        <w:rPr>
          <w:b/>
          <w:bCs/>
        </w:rPr>
      </w:pPr>
      <w:r>
        <w:rPr>
          <w:b/>
          <w:bCs/>
          <w:u w:val="single"/>
        </w:rPr>
        <w:lastRenderedPageBreak/>
        <w:t>Proposal</w:t>
      </w:r>
      <w:r w:rsidRPr="00D17B55">
        <w:rPr>
          <w:b/>
          <w:bCs/>
          <w:u w:val="single"/>
        </w:rPr>
        <w:t xml:space="preserve"> </w:t>
      </w:r>
      <w:r>
        <w:rPr>
          <w:b/>
          <w:bCs/>
          <w:u w:val="single"/>
        </w:rPr>
        <w:t>2.2</w:t>
      </w:r>
      <w:r w:rsidRPr="00D17B55">
        <w:rPr>
          <w:b/>
          <w:bCs/>
          <w:u w:val="single"/>
        </w:rPr>
        <w:t>:</w:t>
      </w:r>
      <w:r w:rsidRPr="00D17B55">
        <w:rPr>
          <w:b/>
          <w:bCs/>
        </w:rPr>
        <w:t xml:space="preserve"> </w:t>
      </w:r>
    </w:p>
    <w:p w14:paraId="2F6A4F25" w14:textId="77777777" w:rsidR="00FD1CF2" w:rsidRDefault="00FD1CF2" w:rsidP="00FD1CF2">
      <w:pPr>
        <w:rPr>
          <w:b/>
          <w:bCs/>
        </w:rPr>
      </w:pPr>
      <w:r>
        <w:rPr>
          <w:b/>
          <w:bCs/>
        </w:rPr>
        <w:t xml:space="preserve">Adopt Alt2 for Case 6 timing: </w:t>
      </w:r>
    </w:p>
    <w:p w14:paraId="1C6B046D" w14:textId="77777777" w:rsidR="00FD1CF2" w:rsidRPr="00063734" w:rsidRDefault="00FD1CF2" w:rsidP="00FD1CF2">
      <w:pPr>
        <w:pStyle w:val="ListParagraph"/>
        <w:numPr>
          <w:ilvl w:val="0"/>
          <w:numId w:val="37"/>
        </w:numPr>
      </w:pPr>
      <w:r>
        <w:rPr>
          <w:b/>
          <w:bCs/>
        </w:rPr>
        <w:t>T</w:t>
      </w:r>
      <w:r w:rsidRPr="00A14DBF">
        <w:rPr>
          <w:b/>
          <w:bCs/>
        </w:rPr>
        <w:t>he IAB-MT Tx timing is set by the node to the timing obtained for the node’s DL Tx</w:t>
      </w:r>
      <w:r>
        <w:rPr>
          <w:b/>
          <w:bCs/>
        </w:rPr>
        <w:t>.</w:t>
      </w:r>
    </w:p>
    <w:p w14:paraId="50959619" w14:textId="77777777" w:rsidR="00FD1CF2" w:rsidRDefault="00FD1CF2" w:rsidP="00FD1CF2"/>
    <w:p w14:paraId="15AC2862" w14:textId="77777777" w:rsidR="00FD1CF2" w:rsidRDefault="00FD1CF2" w:rsidP="00FD1CF2">
      <w:r>
        <w:t xml:space="preserve">One concern about operation in Case 6 timing is how the parent-node can reliably estimate and track child-node’s RTT and its TX timing reference accuracy. This is especially important to provide reliable OTA synchronization for child DU’s DL TX timing. In our view, the parent-node can/should authorize using Case 1 on a sufficiently frequent set of resources, over which it can update its estimation of child’s UL synchronization and indicate a new [legacy] TA command as needed. </w:t>
      </w:r>
    </w:p>
    <w:p w14:paraId="0895EF47" w14:textId="77777777" w:rsidR="00FD1CF2" w:rsidRPr="00D17B55" w:rsidRDefault="00FD1CF2" w:rsidP="00FD1CF2">
      <w:pPr>
        <w:jc w:val="both"/>
        <w:rPr>
          <w:b/>
          <w:bCs/>
        </w:rPr>
      </w:pPr>
      <w:r>
        <w:rPr>
          <w:b/>
          <w:bCs/>
          <w:u w:val="single"/>
        </w:rPr>
        <w:t>Observation</w:t>
      </w:r>
      <w:r w:rsidRPr="00D17B55">
        <w:rPr>
          <w:b/>
          <w:bCs/>
          <w:u w:val="single"/>
        </w:rPr>
        <w:t xml:space="preserve"> </w:t>
      </w:r>
      <w:r>
        <w:rPr>
          <w:b/>
          <w:bCs/>
          <w:u w:val="single"/>
        </w:rPr>
        <w:t>2.2</w:t>
      </w:r>
      <w:r w:rsidRPr="00D17B55">
        <w:rPr>
          <w:b/>
          <w:bCs/>
          <w:u w:val="single"/>
        </w:rPr>
        <w:t>:</w:t>
      </w:r>
      <w:r w:rsidRPr="00D17B55">
        <w:rPr>
          <w:b/>
          <w:bCs/>
        </w:rPr>
        <w:t xml:space="preserve"> </w:t>
      </w:r>
    </w:p>
    <w:p w14:paraId="7B0928B1" w14:textId="77777777" w:rsidR="00FD1CF2" w:rsidRDefault="00FD1CF2" w:rsidP="00FD1CF2">
      <w:pPr>
        <w:rPr>
          <w:b/>
          <w:bCs/>
        </w:rPr>
      </w:pPr>
      <w:r>
        <w:rPr>
          <w:b/>
          <w:bCs/>
        </w:rPr>
        <w:t xml:space="preserve">If Case 6 is authorized to be used by an IAB-node, the parent node can still configure the IAB-node to use Case 1 timing on a sufficiently frequent set of resources. This will allow the parent node to track IAB-node’s UL TX timing, and its RTT estimation and provide an updated [legacy] TA command as needed. </w:t>
      </w:r>
    </w:p>
    <w:p w14:paraId="296B0D75" w14:textId="77777777" w:rsidR="00FD1CF2" w:rsidRDefault="00FD1CF2" w:rsidP="00FD1CF2"/>
    <w:p w14:paraId="0AEFFE6D" w14:textId="77777777" w:rsidR="00FD1CF2" w:rsidRDefault="00FD1CF2" w:rsidP="00FD1CF2">
      <w:r>
        <w:t>To</w:t>
      </w:r>
      <w:r w:rsidRPr="007A00AB">
        <w:t xml:space="preserve"> support switching across different timing cases, the MT UL TX timing should be adjusted whenever there is a switch (e.g., across different set of time resources). It is already agreed an IAB-node is indicated when Case 6 timing is performed at the IAB-node.</w:t>
      </w:r>
      <w:r>
        <w:t xml:space="preserve"> It is deemed necessary to indicate to an IAB-node when it needs to adjust its UL TX timing for Case 7 (e.g., by applying the previously indicated offset). </w:t>
      </w:r>
    </w:p>
    <w:p w14:paraId="34004290" w14:textId="77777777" w:rsidR="00FD1CF2" w:rsidRDefault="00FD1CF2" w:rsidP="00FD1CF2">
      <w:r>
        <w:t>The indication can be dynamic or semi-static. In our view, dynamic indication may have latency</w:t>
      </w:r>
      <w:r w:rsidRPr="00E13914">
        <w:t xml:space="preserve"> and overhead </w:t>
      </w:r>
      <w:r>
        <w:t xml:space="preserve">issues </w:t>
      </w:r>
      <w:r w:rsidRPr="00E13914">
        <w:t>associated with sending, receiving, and adopting a</w:t>
      </w:r>
      <w:r>
        <w:t>n adjustment command</w:t>
      </w:r>
      <w:r w:rsidRPr="00E13914">
        <w:t>.</w:t>
      </w:r>
      <w:r>
        <w:t xml:space="preserve"> Hence, we propose</w:t>
      </w:r>
      <w:r w:rsidRPr="00146967">
        <w:t xml:space="preserve"> to provide a </w:t>
      </w:r>
      <w:r w:rsidRPr="00146967">
        <w:rPr>
          <w:u w:val="single"/>
        </w:rPr>
        <w:t>semi-static indication</w:t>
      </w:r>
      <w:r w:rsidRPr="00146967">
        <w:t xml:space="preserve"> of resources associated with different timing Cases. </w:t>
      </w:r>
    </w:p>
    <w:p w14:paraId="0906532D" w14:textId="77777777" w:rsidR="00FD1CF2" w:rsidRDefault="00FD1CF2" w:rsidP="00FD1CF2"/>
    <w:p w14:paraId="52B1960D" w14:textId="77777777" w:rsidR="00FD1CF2" w:rsidRPr="00D17B55" w:rsidRDefault="00FD1CF2" w:rsidP="00FD1CF2">
      <w:pPr>
        <w:jc w:val="both"/>
        <w:rPr>
          <w:b/>
          <w:bCs/>
        </w:rPr>
      </w:pPr>
      <w:r>
        <w:rPr>
          <w:b/>
          <w:bCs/>
          <w:u w:val="single"/>
        </w:rPr>
        <w:t>Proposal</w:t>
      </w:r>
      <w:r w:rsidRPr="00D17B55">
        <w:rPr>
          <w:b/>
          <w:bCs/>
          <w:u w:val="single"/>
        </w:rPr>
        <w:t xml:space="preserve"> </w:t>
      </w:r>
      <w:r>
        <w:rPr>
          <w:b/>
          <w:bCs/>
          <w:u w:val="single"/>
        </w:rPr>
        <w:t>2.3</w:t>
      </w:r>
      <w:r w:rsidRPr="00D17B55">
        <w:rPr>
          <w:b/>
          <w:bCs/>
          <w:u w:val="single"/>
        </w:rPr>
        <w:t>:</w:t>
      </w:r>
      <w:r w:rsidRPr="00D17B55">
        <w:rPr>
          <w:b/>
          <w:bCs/>
        </w:rPr>
        <w:t xml:space="preserve"> </w:t>
      </w:r>
    </w:p>
    <w:p w14:paraId="01D64D1D" w14:textId="77777777" w:rsidR="00FD1CF2" w:rsidRDefault="00FD1CF2" w:rsidP="00FD1CF2">
      <w:pPr>
        <w:rPr>
          <w:b/>
        </w:rPr>
      </w:pPr>
      <w:r w:rsidRPr="00C13FEE">
        <w:rPr>
          <w:b/>
        </w:rPr>
        <w:t xml:space="preserve">An IAB-node is indicated </w:t>
      </w:r>
      <w:r>
        <w:rPr>
          <w:b/>
        </w:rPr>
        <w:t xml:space="preserve">the resources associated with each timing case (Case1, 6 and 7). </w:t>
      </w:r>
    </w:p>
    <w:p w14:paraId="15590397" w14:textId="77777777" w:rsidR="00FD1CF2" w:rsidRPr="00291FC5" w:rsidRDefault="00FD1CF2" w:rsidP="00FD1CF2">
      <w:pPr>
        <w:pStyle w:val="ListParagraph"/>
        <w:numPr>
          <w:ilvl w:val="0"/>
          <w:numId w:val="37"/>
        </w:numPr>
        <w:rPr>
          <w:b/>
        </w:rPr>
      </w:pPr>
      <w:r w:rsidRPr="00291FC5">
        <w:rPr>
          <w:b/>
        </w:rPr>
        <w:t xml:space="preserve">The indication is semi-static. </w:t>
      </w:r>
    </w:p>
    <w:p w14:paraId="12EB7839" w14:textId="77777777" w:rsidR="00FD1CF2" w:rsidRPr="002F71AA" w:rsidRDefault="00FD1CF2" w:rsidP="00FD1CF2">
      <w:r>
        <w:rPr>
          <w:b/>
        </w:rPr>
        <w:t xml:space="preserve"> </w:t>
      </w:r>
    </w:p>
    <w:tbl>
      <w:tblPr>
        <w:tblStyle w:val="TableGrid"/>
        <w:tblW w:w="0" w:type="auto"/>
        <w:tblLook w:val="04A0" w:firstRow="1" w:lastRow="0" w:firstColumn="1" w:lastColumn="0" w:noHBand="0" w:noVBand="1"/>
      </w:tblPr>
      <w:tblGrid>
        <w:gridCol w:w="9629"/>
      </w:tblGrid>
      <w:tr w:rsidR="00FD1CF2" w14:paraId="5716311A" w14:textId="77777777" w:rsidTr="008E78D2">
        <w:tc>
          <w:tcPr>
            <w:tcW w:w="9629" w:type="dxa"/>
          </w:tcPr>
          <w:p w14:paraId="6E6FEE4F" w14:textId="77777777" w:rsidR="00FD1CF2" w:rsidRDefault="00FD1CF2" w:rsidP="008E78D2">
            <w:r>
              <w:rPr>
                <w:noProof/>
              </w:rPr>
              <w:drawing>
                <wp:inline distT="0" distB="0" distL="0" distR="0" wp14:anchorId="3B9E34C8" wp14:editId="3F5BAA35">
                  <wp:extent cx="5961888" cy="2889504"/>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61888" cy="2889504"/>
                          </a:xfrm>
                          <a:prstGeom prst="rect">
                            <a:avLst/>
                          </a:prstGeom>
                          <a:noFill/>
                        </pic:spPr>
                      </pic:pic>
                    </a:graphicData>
                  </a:graphic>
                </wp:inline>
              </w:drawing>
            </w:r>
          </w:p>
        </w:tc>
      </w:tr>
    </w:tbl>
    <w:p w14:paraId="09669B93" w14:textId="77777777" w:rsidR="00FD1CF2" w:rsidRDefault="00FD1CF2" w:rsidP="00FD1CF2">
      <w:pPr>
        <w:pStyle w:val="Caption"/>
        <w:jc w:val="center"/>
      </w:pPr>
      <w:bookmarkStart w:id="4" w:name="_Ref54299727"/>
      <w:r>
        <w:t xml:space="preserve">Figure </w:t>
      </w:r>
      <w:r>
        <w:fldChar w:fldCharType="begin"/>
      </w:r>
      <w:r>
        <w:instrText xml:space="preserve"> SEQ Figure \* ARABIC </w:instrText>
      </w:r>
      <w:r>
        <w:fldChar w:fldCharType="separate"/>
      </w:r>
      <w:r>
        <w:rPr>
          <w:noProof/>
        </w:rPr>
        <w:t>1</w:t>
      </w:r>
      <w:r>
        <w:fldChar w:fldCharType="end"/>
      </w:r>
      <w:bookmarkEnd w:id="4"/>
      <w:r>
        <w:t xml:space="preserve"> – Illustration of Case 1 timing with OTA synchronization</w:t>
      </w:r>
    </w:p>
    <w:p w14:paraId="406B03CF" w14:textId="77777777" w:rsidR="00FD1CF2" w:rsidRDefault="00FD1CF2" w:rsidP="00FD1CF2"/>
    <w:p w14:paraId="4FC1EA64" w14:textId="77777777" w:rsidR="00FD1CF2" w:rsidRPr="00D17B55" w:rsidRDefault="00FD1CF2" w:rsidP="00FD1CF2">
      <w:pPr>
        <w:keepNext/>
        <w:keepLines/>
        <w:spacing w:before="180"/>
        <w:outlineLvl w:val="1"/>
        <w:rPr>
          <w:rFonts w:ascii="Arial" w:hAnsi="Arial"/>
          <w:sz w:val="32"/>
        </w:rPr>
      </w:pPr>
      <w:r w:rsidRPr="00D17B55">
        <w:rPr>
          <w:rFonts w:ascii="Arial" w:hAnsi="Arial"/>
          <w:sz w:val="32"/>
        </w:rPr>
        <w:lastRenderedPageBreak/>
        <w:t>3. Interference management</w:t>
      </w:r>
    </w:p>
    <w:p w14:paraId="5D49D492" w14:textId="77777777" w:rsidR="00FD1CF2" w:rsidRDefault="00FD1CF2" w:rsidP="00FD1CF2">
      <w:r>
        <w:t>RAN1 has had extensive discussions and some agreements to enhance IAB interference management. In this section, we further investigate the remaining aspects that can be summarized as follows:</w:t>
      </w:r>
    </w:p>
    <w:p w14:paraId="746CC17F" w14:textId="77777777" w:rsidR="00FD1CF2" w:rsidRDefault="00FD1CF2" w:rsidP="00FD1CF2">
      <w:pPr>
        <w:pStyle w:val="ListParagraph"/>
        <w:numPr>
          <w:ilvl w:val="0"/>
          <w:numId w:val="19"/>
        </w:numPr>
      </w:pPr>
      <w:r>
        <w:t>DU-to-DU interference management</w:t>
      </w:r>
    </w:p>
    <w:p w14:paraId="0B482AE3" w14:textId="77777777" w:rsidR="00FD1CF2" w:rsidRDefault="00FD1CF2" w:rsidP="00FD1CF2">
      <w:pPr>
        <w:pStyle w:val="ListParagraph"/>
        <w:numPr>
          <w:ilvl w:val="0"/>
          <w:numId w:val="19"/>
        </w:numPr>
      </w:pPr>
      <w:r>
        <w:t>Multiplexing capability across DU cells</w:t>
      </w:r>
    </w:p>
    <w:p w14:paraId="6AA202C8" w14:textId="77777777" w:rsidR="00FD1CF2" w:rsidRDefault="00FD1CF2" w:rsidP="00FD1CF2">
      <w:pPr>
        <w:pStyle w:val="ListParagraph"/>
        <w:numPr>
          <w:ilvl w:val="0"/>
          <w:numId w:val="19"/>
        </w:numPr>
      </w:pPr>
      <w:r>
        <w:t>Enhancements to Rel-16 CLI framework</w:t>
      </w:r>
    </w:p>
    <w:p w14:paraId="645194F6" w14:textId="77777777" w:rsidR="00FD1CF2" w:rsidRPr="00D97100" w:rsidRDefault="00FD1CF2" w:rsidP="00FD1CF2"/>
    <w:p w14:paraId="28CC8732" w14:textId="77777777" w:rsidR="00FD1CF2" w:rsidRPr="00D17B55" w:rsidRDefault="00FD1CF2" w:rsidP="00FD1CF2">
      <w:pPr>
        <w:keepNext/>
        <w:keepLines/>
        <w:spacing w:before="120"/>
        <w:outlineLvl w:val="2"/>
        <w:rPr>
          <w:rFonts w:ascii="Arial" w:hAnsi="Arial"/>
          <w:sz w:val="28"/>
        </w:rPr>
      </w:pPr>
      <w:r w:rsidRPr="00D17B55">
        <w:rPr>
          <w:rFonts w:ascii="Arial" w:hAnsi="Arial"/>
          <w:sz w:val="28"/>
        </w:rPr>
        <w:t xml:space="preserve">DU-to-DU </w:t>
      </w:r>
      <w:r>
        <w:rPr>
          <w:rFonts w:ascii="Arial" w:hAnsi="Arial"/>
          <w:sz w:val="28"/>
        </w:rPr>
        <w:t>interference</w:t>
      </w:r>
      <w:r w:rsidRPr="00D17B55">
        <w:rPr>
          <w:rFonts w:ascii="Arial" w:hAnsi="Arial"/>
          <w:sz w:val="28"/>
        </w:rPr>
        <w:t xml:space="preserve"> management</w:t>
      </w:r>
    </w:p>
    <w:p w14:paraId="496B5D3C" w14:textId="77777777" w:rsidR="00FD1CF2" w:rsidRDefault="00FD1CF2" w:rsidP="00FD1CF2">
      <w:pPr>
        <w:jc w:val="both"/>
      </w:pPr>
      <w:r>
        <w:t>RAN1 #104-e agreed to the following:</w:t>
      </w:r>
    </w:p>
    <w:tbl>
      <w:tblPr>
        <w:tblStyle w:val="TableGrid"/>
        <w:tblW w:w="0" w:type="auto"/>
        <w:tblLook w:val="04A0" w:firstRow="1" w:lastRow="0" w:firstColumn="1" w:lastColumn="0" w:noHBand="0" w:noVBand="1"/>
      </w:tblPr>
      <w:tblGrid>
        <w:gridCol w:w="9350"/>
      </w:tblGrid>
      <w:tr w:rsidR="00FD1CF2" w14:paraId="7DE9D44D" w14:textId="77777777" w:rsidTr="008E78D2">
        <w:tc>
          <w:tcPr>
            <w:tcW w:w="9350" w:type="dxa"/>
            <w:shd w:val="clear" w:color="auto" w:fill="auto"/>
          </w:tcPr>
          <w:p w14:paraId="36E498FE" w14:textId="77777777" w:rsidR="00FD1CF2" w:rsidRPr="0024662D" w:rsidRDefault="00FD1CF2" w:rsidP="008E78D2">
            <w:pPr>
              <w:rPr>
                <w:b/>
                <w:bCs/>
                <w:highlight w:val="green"/>
                <w:lang w:eastAsia="x-none"/>
              </w:rPr>
            </w:pPr>
            <w:r w:rsidRPr="0024662D">
              <w:rPr>
                <w:b/>
                <w:bCs/>
                <w:highlight w:val="green"/>
                <w:lang w:eastAsia="x-none"/>
              </w:rPr>
              <w:t>Agreement</w:t>
            </w:r>
          </w:p>
          <w:p w14:paraId="7ACE2C13" w14:textId="77777777" w:rsidR="00FD1CF2" w:rsidRPr="0024662D" w:rsidRDefault="00FD1CF2" w:rsidP="008E78D2">
            <w:pPr>
              <w:rPr>
                <w:b/>
                <w:bCs/>
              </w:rPr>
            </w:pPr>
            <w:r w:rsidRPr="0024662D">
              <w:rPr>
                <w:b/>
                <w:bCs/>
              </w:rPr>
              <w:t>RAN1 to select among the following options to support DU-to-DU measurement and report.</w:t>
            </w:r>
          </w:p>
          <w:p w14:paraId="527DD302" w14:textId="77777777" w:rsidR="00FD1CF2" w:rsidRPr="0024662D" w:rsidRDefault="00FD1CF2" w:rsidP="00FD1CF2">
            <w:pPr>
              <w:pStyle w:val="ListParagraph"/>
              <w:numPr>
                <w:ilvl w:val="0"/>
                <w:numId w:val="20"/>
              </w:numPr>
              <w:overflowPunct/>
              <w:autoSpaceDE/>
              <w:autoSpaceDN/>
              <w:adjustRightInd/>
              <w:spacing w:after="0"/>
              <w:rPr>
                <w:b/>
                <w:bCs/>
                <w:color w:val="595959"/>
              </w:rPr>
            </w:pPr>
            <w:r w:rsidRPr="0024662D">
              <w:rPr>
                <w:b/>
                <w:bCs/>
                <w:color w:val="595959"/>
              </w:rPr>
              <w:t>For DU-to-DU CLI measurement:</w:t>
            </w:r>
          </w:p>
          <w:p w14:paraId="4014C22D" w14:textId="77777777" w:rsidR="00FD1CF2" w:rsidRPr="0024662D" w:rsidRDefault="00FD1CF2" w:rsidP="00FD1CF2">
            <w:pPr>
              <w:pStyle w:val="ListParagraph"/>
              <w:numPr>
                <w:ilvl w:val="1"/>
                <w:numId w:val="20"/>
              </w:numPr>
              <w:overflowPunct/>
              <w:autoSpaceDE/>
              <w:autoSpaceDN/>
              <w:adjustRightInd/>
              <w:spacing w:after="0"/>
              <w:rPr>
                <w:b/>
                <w:bCs/>
                <w:color w:val="595959"/>
              </w:rPr>
            </w:pPr>
            <w:r w:rsidRPr="0024662D">
              <w:rPr>
                <w:b/>
                <w:bCs/>
                <w:color w:val="595959"/>
              </w:rPr>
              <w:t>Option 1.1. no specific mechanism is specified (e.g., it is handled by the implementation, or the available techniques)</w:t>
            </w:r>
          </w:p>
          <w:p w14:paraId="776A1901" w14:textId="77777777" w:rsidR="00FD1CF2" w:rsidRPr="0024662D" w:rsidRDefault="00FD1CF2" w:rsidP="00FD1CF2">
            <w:pPr>
              <w:pStyle w:val="ListParagraph"/>
              <w:numPr>
                <w:ilvl w:val="1"/>
                <w:numId w:val="20"/>
              </w:numPr>
              <w:overflowPunct/>
              <w:autoSpaceDE/>
              <w:autoSpaceDN/>
              <w:adjustRightInd/>
              <w:spacing w:after="0"/>
              <w:rPr>
                <w:b/>
                <w:bCs/>
                <w:color w:val="595959"/>
              </w:rPr>
            </w:pPr>
            <w:r w:rsidRPr="0024662D">
              <w:rPr>
                <w:b/>
                <w:bCs/>
                <w:color w:val="595959"/>
              </w:rPr>
              <w:t>Option 1.2. enhanced legacy DU-based measurement procedures (e.g., enhanced Rel-16 RIM)</w:t>
            </w:r>
          </w:p>
          <w:p w14:paraId="3C4E2157" w14:textId="77777777" w:rsidR="00FD1CF2" w:rsidRPr="0024662D" w:rsidRDefault="00FD1CF2" w:rsidP="00FD1CF2">
            <w:pPr>
              <w:pStyle w:val="ListParagraph"/>
              <w:numPr>
                <w:ilvl w:val="1"/>
                <w:numId w:val="20"/>
              </w:numPr>
              <w:overflowPunct/>
              <w:autoSpaceDE/>
              <w:autoSpaceDN/>
              <w:adjustRightInd/>
              <w:spacing w:after="0"/>
              <w:rPr>
                <w:b/>
                <w:bCs/>
                <w:color w:val="595959"/>
              </w:rPr>
            </w:pPr>
            <w:r w:rsidRPr="0024662D">
              <w:rPr>
                <w:b/>
                <w:bCs/>
                <w:color w:val="595959"/>
              </w:rPr>
              <w:t>Option 1.3. enhanced MT-based measurements (e.g., MT-based CLI, MT RRM measurements)</w:t>
            </w:r>
          </w:p>
          <w:p w14:paraId="1C61E8B0" w14:textId="77777777" w:rsidR="00FD1CF2" w:rsidRPr="0024662D" w:rsidRDefault="00FD1CF2" w:rsidP="00FD1CF2">
            <w:pPr>
              <w:pStyle w:val="ListParagraph"/>
              <w:numPr>
                <w:ilvl w:val="0"/>
                <w:numId w:val="20"/>
              </w:numPr>
              <w:overflowPunct/>
              <w:autoSpaceDE/>
              <w:autoSpaceDN/>
              <w:adjustRightInd/>
              <w:spacing w:after="0"/>
              <w:rPr>
                <w:b/>
                <w:bCs/>
                <w:color w:val="595959"/>
              </w:rPr>
            </w:pPr>
            <w:r w:rsidRPr="0024662D">
              <w:rPr>
                <w:b/>
                <w:bCs/>
                <w:color w:val="595959"/>
              </w:rPr>
              <w:t>For DU-to-DU CLI report:</w:t>
            </w:r>
          </w:p>
          <w:p w14:paraId="732878DB" w14:textId="77777777" w:rsidR="00FD1CF2" w:rsidRPr="0024662D" w:rsidRDefault="00FD1CF2" w:rsidP="00FD1CF2">
            <w:pPr>
              <w:pStyle w:val="ListParagraph"/>
              <w:numPr>
                <w:ilvl w:val="1"/>
                <w:numId w:val="20"/>
              </w:numPr>
              <w:overflowPunct/>
              <w:autoSpaceDE/>
              <w:autoSpaceDN/>
              <w:adjustRightInd/>
              <w:spacing w:after="0"/>
              <w:rPr>
                <w:b/>
                <w:bCs/>
                <w:color w:val="595959"/>
              </w:rPr>
            </w:pPr>
            <w:r w:rsidRPr="0024662D">
              <w:rPr>
                <w:b/>
                <w:bCs/>
                <w:color w:val="595959"/>
              </w:rPr>
              <w:t>Option 2.1. no specific mechanism is specified (e.g., it is handled by the implementation, or the available techniques)</w:t>
            </w:r>
          </w:p>
          <w:p w14:paraId="72B1705A" w14:textId="77777777" w:rsidR="00FD1CF2" w:rsidRPr="0024662D" w:rsidRDefault="00FD1CF2" w:rsidP="00FD1CF2">
            <w:pPr>
              <w:pStyle w:val="ListParagraph"/>
              <w:numPr>
                <w:ilvl w:val="1"/>
                <w:numId w:val="20"/>
              </w:numPr>
              <w:overflowPunct/>
              <w:autoSpaceDE/>
              <w:autoSpaceDN/>
              <w:adjustRightInd/>
              <w:spacing w:after="0"/>
              <w:rPr>
                <w:b/>
                <w:bCs/>
                <w:color w:val="595959"/>
              </w:rPr>
            </w:pPr>
            <w:r w:rsidRPr="0024662D">
              <w:rPr>
                <w:b/>
                <w:bCs/>
                <w:color w:val="595959"/>
              </w:rPr>
              <w:t>Option 2.2. enhanced legacy DU-based report (e.g., enhanced Rel-16 RIM)</w:t>
            </w:r>
          </w:p>
          <w:p w14:paraId="1C302435" w14:textId="77777777" w:rsidR="00FD1CF2" w:rsidRPr="006C7D7E" w:rsidRDefault="00FD1CF2" w:rsidP="00FD1CF2">
            <w:pPr>
              <w:pStyle w:val="ListParagraph"/>
              <w:numPr>
                <w:ilvl w:val="1"/>
                <w:numId w:val="20"/>
              </w:numPr>
              <w:overflowPunct/>
              <w:autoSpaceDE/>
              <w:autoSpaceDN/>
              <w:adjustRightInd/>
              <w:spacing w:after="0"/>
              <w:rPr>
                <w:color w:val="595959"/>
              </w:rPr>
            </w:pPr>
            <w:r w:rsidRPr="0024662D">
              <w:rPr>
                <w:b/>
                <w:bCs/>
                <w:color w:val="595959"/>
              </w:rPr>
              <w:t>Option 2.3. enhanced MT-based report (e.g., MT-based CLI, MT RRM measurements)</w:t>
            </w:r>
          </w:p>
        </w:tc>
      </w:tr>
    </w:tbl>
    <w:p w14:paraId="0E828004" w14:textId="77777777" w:rsidR="00FD1CF2" w:rsidRDefault="00FD1CF2" w:rsidP="00FD1CF2">
      <w:pPr>
        <w:jc w:val="both"/>
      </w:pPr>
    </w:p>
    <w:p w14:paraId="3F75DE9D" w14:textId="77777777" w:rsidR="00FD1CF2" w:rsidRDefault="00FD1CF2" w:rsidP="00FD1CF2">
      <w:pPr>
        <w:jc w:val="both"/>
      </w:pPr>
      <w:r>
        <w:t>RAN1 #105-e further discussed related aspects, but without finally converging to an agreement. The following FL proposal [1] reflects the latest discussions during RAN1 #105-e.</w:t>
      </w:r>
    </w:p>
    <w:tbl>
      <w:tblPr>
        <w:tblStyle w:val="TableGrid"/>
        <w:tblW w:w="0" w:type="auto"/>
        <w:tblLook w:val="04A0" w:firstRow="1" w:lastRow="0" w:firstColumn="1" w:lastColumn="0" w:noHBand="0" w:noVBand="1"/>
      </w:tblPr>
      <w:tblGrid>
        <w:gridCol w:w="9629"/>
      </w:tblGrid>
      <w:tr w:rsidR="00FD1CF2" w14:paraId="36181C1A" w14:textId="77777777" w:rsidTr="008E78D2">
        <w:tc>
          <w:tcPr>
            <w:tcW w:w="9629" w:type="dxa"/>
          </w:tcPr>
          <w:p w14:paraId="27E9F99D" w14:textId="77777777" w:rsidR="00FD1CF2" w:rsidRPr="0024662D" w:rsidRDefault="00FD1CF2" w:rsidP="008E78D2">
            <w:pPr>
              <w:rPr>
                <w:b/>
                <w:bCs/>
                <w:u w:val="single"/>
              </w:rPr>
            </w:pPr>
            <w:r w:rsidRPr="0024662D">
              <w:rPr>
                <w:b/>
                <w:bCs/>
                <w:highlight w:val="lightGray"/>
                <w:u w:val="single"/>
              </w:rPr>
              <w:t>FL Proposal 2.1c:</w:t>
            </w:r>
          </w:p>
          <w:p w14:paraId="5619C7F0" w14:textId="77777777" w:rsidR="00FD1CF2" w:rsidRPr="00603BDF" w:rsidRDefault="00FD1CF2" w:rsidP="008E78D2">
            <w:pPr>
              <w:rPr>
                <w:rFonts w:asciiTheme="majorBidi" w:hAnsiTheme="majorBidi" w:cstheme="majorBidi"/>
                <w:b/>
                <w:bCs/>
                <w:color w:val="000000" w:themeColor="text1"/>
              </w:rPr>
            </w:pPr>
            <w:r w:rsidRPr="0024662D">
              <w:rPr>
                <w:b/>
                <w:bCs/>
                <w:color w:val="000000" w:themeColor="text1"/>
              </w:rPr>
              <w:t>Enhancements to legacy DU-based measurements and reports (e.g., enhanced Rel-16 RIM) and/or MT-based measurements and reports (e.g., MT-based CLI, MT RRM measurements) are supported for DU-to-DU CLI at least for IAB deployments without strict network planning.</w:t>
            </w:r>
          </w:p>
        </w:tc>
      </w:tr>
    </w:tbl>
    <w:p w14:paraId="55FAEA16" w14:textId="77777777" w:rsidR="00FD1CF2" w:rsidRDefault="00FD1CF2" w:rsidP="00FD1CF2">
      <w:pPr>
        <w:jc w:val="both"/>
      </w:pPr>
    </w:p>
    <w:p w14:paraId="15F32343" w14:textId="77777777" w:rsidR="00FD1CF2" w:rsidRDefault="00FD1CF2" w:rsidP="00FD1CF2">
      <w:pPr>
        <w:jc w:val="both"/>
      </w:pPr>
      <w:r>
        <w:t xml:space="preserve">We believe enhancements are needed to support efficient DU-to-DU CLI management. </w:t>
      </w:r>
    </w:p>
    <w:p w14:paraId="2B9C8FF1" w14:textId="77777777" w:rsidR="00FD1CF2" w:rsidRDefault="00FD1CF2" w:rsidP="00FD1CF2">
      <w:pPr>
        <w:pStyle w:val="ListParagraph"/>
        <w:numPr>
          <w:ilvl w:val="0"/>
          <w:numId w:val="19"/>
        </w:numPr>
        <w:overflowPunct/>
        <w:autoSpaceDE/>
        <w:autoSpaceDN/>
        <w:adjustRightInd/>
        <w:spacing w:after="160" w:line="259" w:lineRule="auto"/>
        <w:textAlignment w:val="auto"/>
      </w:pPr>
      <w:r w:rsidRPr="00603BDF">
        <w:t>We firs</w:t>
      </w:r>
      <w:r>
        <w:t>t</w:t>
      </w:r>
      <w:r w:rsidRPr="00603BDF">
        <w:t xml:space="preserve"> note that </w:t>
      </w:r>
      <w:r w:rsidRPr="00603BDF">
        <w:rPr>
          <w:b/>
          <w:bCs/>
        </w:rPr>
        <w:t>strict network planning</w:t>
      </w:r>
      <w:r w:rsidRPr="00603BDF">
        <w:t xml:space="preserve"> is not always feasible (e.g., for local-area IAB-nodes). We should further note “network planning” in the context of IAB may imposes restrictions on the topology and the resource allocation, </w:t>
      </w:r>
      <w:r>
        <w:t xml:space="preserve">hence </w:t>
      </w:r>
      <w:r w:rsidRPr="00603BDF">
        <w:t>making the IAB network harder and less efficient to adapt to the</w:t>
      </w:r>
      <w:r>
        <w:t xml:space="preserve"> changes in the</w:t>
      </w:r>
      <w:r w:rsidRPr="00603BDF">
        <w:t xml:space="preserve"> traffic pattern, and environment. </w:t>
      </w:r>
    </w:p>
    <w:p w14:paraId="304AD8C8" w14:textId="77777777" w:rsidR="00FD1CF2" w:rsidRPr="00603BDF" w:rsidRDefault="00FD1CF2" w:rsidP="00FD1CF2">
      <w:pPr>
        <w:pStyle w:val="ListParagraph"/>
        <w:numPr>
          <w:ilvl w:val="0"/>
          <w:numId w:val="19"/>
        </w:numPr>
        <w:jc w:val="both"/>
      </w:pPr>
      <w:r w:rsidRPr="00603BDF">
        <w:t xml:space="preserve">It is deemed necessary to have a standardized DU-to-DU interference management framework to guarantee inter-operability and, especially in IAB networks, for a CU to determine proper IAB-DU resource configurations. </w:t>
      </w:r>
    </w:p>
    <w:p w14:paraId="426B4E64" w14:textId="77777777" w:rsidR="00FD1CF2" w:rsidRPr="00D17B55" w:rsidRDefault="00FD1CF2" w:rsidP="00FD1CF2">
      <w:pPr>
        <w:jc w:val="both"/>
        <w:rPr>
          <w:b/>
          <w:bCs/>
        </w:rPr>
      </w:pPr>
      <w:r w:rsidRPr="00D17B55">
        <w:rPr>
          <w:b/>
          <w:bCs/>
          <w:u w:val="single"/>
        </w:rPr>
        <w:t>Observation 3.</w:t>
      </w:r>
      <w:r>
        <w:rPr>
          <w:b/>
          <w:bCs/>
          <w:u w:val="single"/>
        </w:rPr>
        <w:t>1</w:t>
      </w:r>
      <w:r w:rsidRPr="00D17B55">
        <w:rPr>
          <w:b/>
          <w:bCs/>
          <w:u w:val="single"/>
        </w:rPr>
        <w:t>:</w:t>
      </w:r>
      <w:r w:rsidRPr="00D17B55">
        <w:rPr>
          <w:b/>
          <w:bCs/>
        </w:rPr>
        <w:t xml:space="preserve"> </w:t>
      </w:r>
    </w:p>
    <w:p w14:paraId="29AB3516" w14:textId="77777777" w:rsidR="00FD1CF2" w:rsidRDefault="00FD1CF2" w:rsidP="00FD1CF2">
      <w:pPr>
        <w:jc w:val="both"/>
        <w:rPr>
          <w:b/>
          <w:bCs/>
        </w:rPr>
      </w:pPr>
      <w:r>
        <w:rPr>
          <w:b/>
          <w:bCs/>
        </w:rPr>
        <w:t>Strict network planning is not always feasible or efficient to avoid inter-DU interference in IAB.</w:t>
      </w:r>
    </w:p>
    <w:p w14:paraId="28204FE8" w14:textId="77777777" w:rsidR="00FD1CF2" w:rsidRDefault="00FD1CF2" w:rsidP="00FD1CF2">
      <w:pPr>
        <w:jc w:val="both"/>
        <w:rPr>
          <w:b/>
          <w:bCs/>
        </w:rPr>
      </w:pPr>
      <w:r w:rsidRPr="00D17B55">
        <w:rPr>
          <w:b/>
          <w:bCs/>
        </w:rPr>
        <w:t>A standardized DU-to-DU CLI management is needed for inter-operability and</w:t>
      </w:r>
      <w:r>
        <w:rPr>
          <w:b/>
          <w:bCs/>
        </w:rPr>
        <w:t xml:space="preserve">, </w:t>
      </w:r>
      <w:r w:rsidRPr="00D17B55">
        <w:rPr>
          <w:b/>
          <w:bCs/>
        </w:rPr>
        <w:t>especially in IAB</w:t>
      </w:r>
      <w:r>
        <w:rPr>
          <w:b/>
          <w:bCs/>
        </w:rPr>
        <w:t xml:space="preserve"> networks</w:t>
      </w:r>
      <w:r w:rsidRPr="00D17B55">
        <w:rPr>
          <w:b/>
          <w:bCs/>
        </w:rPr>
        <w:t>, for a CU to determine proper resource configurations for its IAB-DUs.</w:t>
      </w:r>
    </w:p>
    <w:p w14:paraId="7AA6329F" w14:textId="77777777" w:rsidR="00FD1CF2" w:rsidRPr="00D17B55" w:rsidRDefault="00FD1CF2" w:rsidP="00FD1CF2">
      <w:pPr>
        <w:jc w:val="both"/>
        <w:rPr>
          <w:b/>
          <w:bCs/>
        </w:rPr>
      </w:pPr>
    </w:p>
    <w:p w14:paraId="54F0F891" w14:textId="77777777" w:rsidR="00FD1CF2" w:rsidRPr="00D17B55" w:rsidRDefault="00FD1CF2" w:rsidP="00FD1CF2">
      <w:pPr>
        <w:jc w:val="both"/>
      </w:pPr>
      <w:r>
        <w:lastRenderedPageBreak/>
        <w:t xml:space="preserve">Regarding </w:t>
      </w:r>
      <w:r w:rsidRPr="00D17B55">
        <w:rPr>
          <w:u w:val="single"/>
        </w:rPr>
        <w:t>DU-to-DU CLI measurements</w:t>
      </w:r>
      <w:r>
        <w:t xml:space="preserve">, we believe it </w:t>
      </w:r>
      <w:r w:rsidRPr="00D17B55">
        <w:t>can be done autonomously</w:t>
      </w:r>
      <w:r>
        <w:t>, and no new mechanism needs to be specified</w:t>
      </w:r>
      <w:r w:rsidRPr="00D17B55">
        <w:t xml:space="preserve">. </w:t>
      </w:r>
      <w:r>
        <w:t>A</w:t>
      </w:r>
      <w:r w:rsidRPr="00D17B55">
        <w:t>n IAB-DU, with the knowledge about its neighbouring DU cells – acquired by the IAB-MT e.g.</w:t>
      </w:r>
      <w:r>
        <w:t>,</w:t>
      </w:r>
      <w:r w:rsidRPr="00D17B55">
        <w:t xml:space="preserve"> via SMTC</w:t>
      </w:r>
      <w:r>
        <w:t xml:space="preserve"> or neighbour cell search – </w:t>
      </w:r>
      <w:r w:rsidRPr="00D17B55">
        <w:t xml:space="preserve">can measure CLI. </w:t>
      </w:r>
    </w:p>
    <w:p w14:paraId="3B7CC7CA" w14:textId="77777777" w:rsidR="00FD1CF2" w:rsidRPr="00D17B55" w:rsidRDefault="00FD1CF2" w:rsidP="00FD1CF2">
      <w:pPr>
        <w:jc w:val="both"/>
        <w:rPr>
          <w:b/>
          <w:bCs/>
        </w:rPr>
      </w:pPr>
      <w:r w:rsidRPr="00D17B55">
        <w:rPr>
          <w:b/>
          <w:bCs/>
          <w:u w:val="single"/>
        </w:rPr>
        <w:t>Observation 3.</w:t>
      </w:r>
      <w:r>
        <w:rPr>
          <w:b/>
          <w:bCs/>
          <w:u w:val="single"/>
        </w:rPr>
        <w:t>2</w:t>
      </w:r>
      <w:r w:rsidRPr="00D17B55">
        <w:rPr>
          <w:b/>
          <w:bCs/>
          <w:u w:val="single"/>
        </w:rPr>
        <w:t>:</w:t>
      </w:r>
      <w:r w:rsidRPr="00D17B55">
        <w:rPr>
          <w:b/>
          <w:bCs/>
        </w:rPr>
        <w:t xml:space="preserve"> </w:t>
      </w:r>
    </w:p>
    <w:p w14:paraId="3D09668D" w14:textId="77777777" w:rsidR="00FD1CF2" w:rsidRDefault="00FD1CF2" w:rsidP="00FD1CF2">
      <w:pPr>
        <w:jc w:val="both"/>
        <w:rPr>
          <w:b/>
          <w:bCs/>
        </w:rPr>
      </w:pPr>
      <w:r w:rsidRPr="00D17B55">
        <w:rPr>
          <w:b/>
          <w:bCs/>
        </w:rPr>
        <w:t>An IAB-DU can autonomously measure CLI from neighbouring DU cells, based on the available information at the IAB-MT (e.g.</w:t>
      </w:r>
      <w:r>
        <w:rPr>
          <w:b/>
          <w:bCs/>
        </w:rPr>
        <w:t>,</w:t>
      </w:r>
      <w:r w:rsidRPr="00D17B55">
        <w:rPr>
          <w:b/>
          <w:bCs/>
        </w:rPr>
        <w:t xml:space="preserve"> </w:t>
      </w:r>
      <w:r>
        <w:rPr>
          <w:b/>
          <w:bCs/>
        </w:rPr>
        <w:t xml:space="preserve">via </w:t>
      </w:r>
      <w:r w:rsidRPr="00D17B55">
        <w:rPr>
          <w:b/>
          <w:bCs/>
        </w:rPr>
        <w:t>SMTC</w:t>
      </w:r>
      <w:r>
        <w:rPr>
          <w:b/>
          <w:bCs/>
        </w:rPr>
        <w:t>, or neighbour cell search</w:t>
      </w:r>
      <w:r w:rsidRPr="00D17B55">
        <w:rPr>
          <w:b/>
          <w:bCs/>
        </w:rPr>
        <w:t>).</w:t>
      </w:r>
    </w:p>
    <w:p w14:paraId="2CB004B8" w14:textId="77777777" w:rsidR="00FD1CF2" w:rsidRDefault="00FD1CF2" w:rsidP="00FD1CF2">
      <w:pPr>
        <w:jc w:val="both"/>
      </w:pPr>
    </w:p>
    <w:p w14:paraId="77B1C3FB" w14:textId="77777777" w:rsidR="00FD1CF2" w:rsidRDefault="00FD1CF2" w:rsidP="00FD1CF2">
      <w:pPr>
        <w:jc w:val="both"/>
      </w:pPr>
      <w:r>
        <w:t xml:space="preserve">Regarding </w:t>
      </w:r>
      <w:r w:rsidRPr="00D17B55">
        <w:rPr>
          <w:u w:val="single"/>
        </w:rPr>
        <w:t xml:space="preserve">DU-to-DU CLI </w:t>
      </w:r>
      <w:r>
        <w:rPr>
          <w:u w:val="single"/>
        </w:rPr>
        <w:t>report</w:t>
      </w:r>
      <w:r>
        <w:t xml:space="preserve">, we believe providing the result of CLI measurement (to the CU) is needed for coordination purposes. </w:t>
      </w:r>
    </w:p>
    <w:p w14:paraId="79B87CC6" w14:textId="77777777" w:rsidR="00FD1CF2" w:rsidRDefault="00FD1CF2" w:rsidP="00FD1CF2">
      <w:pPr>
        <w:jc w:val="both"/>
      </w:pPr>
      <w:r>
        <w:t xml:space="preserve">Rel-16 RIM introduced a framework for DU </w:t>
      </w:r>
      <w:r w:rsidRPr="00A45BFD">
        <w:rPr>
          <w:i/>
          <w:iCs/>
        </w:rPr>
        <w:t>remote</w:t>
      </w:r>
      <w:r>
        <w:t xml:space="preserve"> interference management, which, in our view, is not suitable for </w:t>
      </w:r>
      <w:r w:rsidRPr="00CA7479">
        <w:rPr>
          <w:i/>
          <w:iCs/>
        </w:rPr>
        <w:t>local</w:t>
      </w:r>
      <w:r>
        <w:t xml:space="preserve"> DU-to-DU interference management. More details can be found in [2]. The closest aspect, from Rel-16 RIM, that can be leveraged for DU-to-DU CLI management is the reporting framework that should be extended as below.</w:t>
      </w:r>
    </w:p>
    <w:p w14:paraId="3597BD3A" w14:textId="77777777" w:rsidR="00FD1CF2" w:rsidRDefault="00FD1CF2" w:rsidP="00FD1CF2">
      <w:pPr>
        <w:pStyle w:val="ListParagraph"/>
        <w:numPr>
          <w:ilvl w:val="0"/>
          <w:numId w:val="8"/>
        </w:numPr>
        <w:tabs>
          <w:tab w:val="clear" w:pos="720"/>
          <w:tab w:val="num" w:pos="360"/>
        </w:tabs>
        <w:overflowPunct/>
        <w:autoSpaceDE/>
        <w:autoSpaceDN/>
        <w:adjustRightInd/>
        <w:spacing w:after="160" w:line="259" w:lineRule="auto"/>
        <w:ind w:left="360"/>
        <w:jc w:val="both"/>
        <w:textAlignment w:val="auto"/>
      </w:pPr>
      <w:r>
        <w:t>Support a victim IAB-DU reporting the result of its interference measurements to the CU. The report should comprise</w:t>
      </w:r>
    </w:p>
    <w:p w14:paraId="1943394F" w14:textId="77777777" w:rsidR="00FD1CF2"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A list of neighbouring aggressor DU cells</w:t>
      </w:r>
    </w:p>
    <w:p w14:paraId="42FA3A01" w14:textId="77777777" w:rsidR="00FD1CF2"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A list of victim cells of the IAB-DU</w:t>
      </w:r>
    </w:p>
    <w:p w14:paraId="14901BF2" w14:textId="77777777" w:rsidR="00FD1CF2" w:rsidRPr="0043174A"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pPr>
      <w:r>
        <w:t xml:space="preserve">Spatial (beam-related) information – e.g., index of SSBs. </w:t>
      </w:r>
    </w:p>
    <w:p w14:paraId="778CD5BF" w14:textId="77777777" w:rsidR="00FD1CF2" w:rsidRDefault="00FD1CF2" w:rsidP="00FD1CF2">
      <w:pPr>
        <w:jc w:val="both"/>
        <w:rPr>
          <w:b/>
          <w:bCs/>
          <w:u w:val="single"/>
        </w:rPr>
      </w:pPr>
    </w:p>
    <w:p w14:paraId="70F1017C" w14:textId="77777777" w:rsidR="00FD1CF2" w:rsidRPr="00D17B55" w:rsidRDefault="00FD1CF2" w:rsidP="00FD1CF2">
      <w:pPr>
        <w:jc w:val="both"/>
        <w:rPr>
          <w:b/>
          <w:bCs/>
          <w:u w:val="single"/>
        </w:rPr>
      </w:pPr>
      <w:r w:rsidRPr="00D17B55">
        <w:rPr>
          <w:b/>
          <w:bCs/>
          <w:u w:val="single"/>
        </w:rPr>
        <w:t>Proposal 3.</w:t>
      </w:r>
      <w:r>
        <w:rPr>
          <w:b/>
          <w:bCs/>
          <w:u w:val="single"/>
        </w:rPr>
        <w:t>1</w:t>
      </w:r>
      <w:r w:rsidRPr="00D17B55">
        <w:rPr>
          <w:b/>
          <w:bCs/>
          <w:u w:val="single"/>
        </w:rPr>
        <w:t>:</w:t>
      </w:r>
    </w:p>
    <w:p w14:paraId="68D2F10C" w14:textId="77777777" w:rsidR="00FD1CF2" w:rsidRDefault="00FD1CF2" w:rsidP="00FD1CF2">
      <w:pPr>
        <w:jc w:val="both"/>
        <w:rPr>
          <w:b/>
          <w:bCs/>
        </w:rPr>
      </w:pPr>
      <w:r>
        <w:rPr>
          <w:b/>
          <w:bCs/>
        </w:rPr>
        <w:t>For DU-to-DU CLI measurements:</w:t>
      </w:r>
    </w:p>
    <w:p w14:paraId="7F765510" w14:textId="77777777" w:rsidR="00FD1CF2" w:rsidRDefault="00FD1CF2" w:rsidP="00FD1CF2">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No specific mechanism is specified.</w:t>
      </w:r>
    </w:p>
    <w:p w14:paraId="79AA42BE" w14:textId="77777777" w:rsidR="00FD1CF2" w:rsidRDefault="00FD1CF2" w:rsidP="00FD1CF2">
      <w:pPr>
        <w:jc w:val="both"/>
        <w:rPr>
          <w:b/>
          <w:bCs/>
        </w:rPr>
      </w:pPr>
      <w:r>
        <w:rPr>
          <w:b/>
          <w:bCs/>
        </w:rPr>
        <w:t>For DU-to-DU CLI report:</w:t>
      </w:r>
    </w:p>
    <w:p w14:paraId="13CF5DA6" w14:textId="77777777" w:rsidR="00FD1CF2" w:rsidRDefault="00FD1CF2" w:rsidP="00FD1CF2">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Support enhanced legacy DU-based report, as follows</w:t>
      </w:r>
    </w:p>
    <w:p w14:paraId="15486F11" w14:textId="77777777" w:rsidR="00FD1CF2" w:rsidRPr="005E18C8"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A</w:t>
      </w:r>
      <w:r w:rsidRPr="005E18C8">
        <w:rPr>
          <w:b/>
          <w:bCs/>
        </w:rPr>
        <w:t xml:space="preserve"> victim IAB-DU </w:t>
      </w:r>
      <w:r>
        <w:rPr>
          <w:b/>
          <w:bCs/>
        </w:rPr>
        <w:t xml:space="preserve">can </w:t>
      </w:r>
      <w:r w:rsidRPr="005E18C8">
        <w:rPr>
          <w:b/>
          <w:bCs/>
        </w:rPr>
        <w:t>report the result of its interference measurements to the CU. The report should comprise</w:t>
      </w:r>
    </w:p>
    <w:p w14:paraId="16D996C7"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neighbouring aggressor DU cells</w:t>
      </w:r>
    </w:p>
    <w:p w14:paraId="3479FB3A"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victim cells of the IAB-DU</w:t>
      </w:r>
    </w:p>
    <w:p w14:paraId="46A7BCFB"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 xml:space="preserve">Spatial (beam-related) information – e.g., index of SSBs. </w:t>
      </w:r>
    </w:p>
    <w:p w14:paraId="2C09CC04" w14:textId="77777777" w:rsidR="00FD1CF2" w:rsidRPr="005E18C8"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Support inter-CU coordination via exchange of DU reports on Xn interface.</w:t>
      </w:r>
    </w:p>
    <w:p w14:paraId="0EE47F56" w14:textId="77777777" w:rsidR="00FD1CF2" w:rsidRPr="00D17B55" w:rsidRDefault="00FD1CF2" w:rsidP="005358D4">
      <w:pPr>
        <w:contextualSpacing/>
      </w:pPr>
      <w:r w:rsidRPr="00D17B55">
        <w:rPr>
          <w:b/>
          <w:bCs/>
        </w:rPr>
        <w:t>Note: this address</w:t>
      </w:r>
      <w:r>
        <w:rPr>
          <w:b/>
          <w:bCs/>
        </w:rPr>
        <w:t>es</w:t>
      </w:r>
      <w:r w:rsidRPr="00D17B55">
        <w:rPr>
          <w:b/>
          <w:bCs/>
        </w:rPr>
        <w:t xml:space="preserve"> </w:t>
      </w:r>
      <w:r>
        <w:rPr>
          <w:b/>
          <w:bCs/>
        </w:rPr>
        <w:t xml:space="preserve">interference scenarios between </w:t>
      </w:r>
      <w:r w:rsidRPr="00D17B55">
        <w:rPr>
          <w:b/>
          <w:bCs/>
        </w:rPr>
        <w:t>IAB-DU</w:t>
      </w:r>
      <w:r>
        <w:rPr>
          <w:b/>
          <w:bCs/>
        </w:rPr>
        <w:t xml:space="preserve">s, as well as between </w:t>
      </w:r>
      <w:r w:rsidRPr="00D17B55">
        <w:rPr>
          <w:b/>
          <w:bCs/>
        </w:rPr>
        <w:t>IAB-DU</w:t>
      </w:r>
      <w:r>
        <w:rPr>
          <w:b/>
          <w:bCs/>
        </w:rPr>
        <w:t>s</w:t>
      </w:r>
      <w:r w:rsidRPr="00D17B55">
        <w:rPr>
          <w:b/>
          <w:bCs/>
        </w:rPr>
        <w:t xml:space="preserve"> </w:t>
      </w:r>
      <w:r>
        <w:rPr>
          <w:b/>
          <w:bCs/>
        </w:rPr>
        <w:t>and</w:t>
      </w:r>
      <w:r w:rsidRPr="00D17B55">
        <w:rPr>
          <w:b/>
          <w:bCs/>
        </w:rPr>
        <w:t xml:space="preserve"> non-IAB-DU</w:t>
      </w:r>
      <w:r>
        <w:rPr>
          <w:b/>
          <w:bCs/>
        </w:rPr>
        <w:t>s.</w:t>
      </w:r>
      <w:r w:rsidRPr="00D17B55">
        <w:rPr>
          <w:b/>
          <w:bCs/>
        </w:rPr>
        <w:t xml:space="preserve"> </w:t>
      </w:r>
    </w:p>
    <w:p w14:paraId="6EF5BD76" w14:textId="77777777" w:rsidR="00FD1CF2" w:rsidRDefault="00FD1CF2" w:rsidP="00FD1CF2"/>
    <w:p w14:paraId="6472530C" w14:textId="77777777" w:rsidR="00FD1CF2" w:rsidRPr="00D17B55" w:rsidRDefault="00FD1CF2" w:rsidP="00FD1CF2">
      <w:pPr>
        <w:keepNext/>
        <w:keepLines/>
        <w:spacing w:before="120"/>
        <w:outlineLvl w:val="2"/>
        <w:rPr>
          <w:rFonts w:ascii="Arial" w:hAnsi="Arial"/>
          <w:sz w:val="28"/>
        </w:rPr>
      </w:pPr>
      <w:r w:rsidRPr="00D17B55">
        <w:rPr>
          <w:rFonts w:ascii="Arial" w:hAnsi="Arial"/>
          <w:sz w:val="28"/>
        </w:rPr>
        <w:t xml:space="preserve">Multiplexing capability across DU-cells </w:t>
      </w:r>
    </w:p>
    <w:p w14:paraId="10E8E4E1" w14:textId="77777777" w:rsidR="00FD1CF2" w:rsidRPr="00D17B55" w:rsidRDefault="00FD1CF2" w:rsidP="00FD1CF2">
      <w:r w:rsidRPr="00D17B55">
        <w:t xml:space="preserve">Different cells served by a DU may interfere with each other if their TDD configurations are not aligned. This can be characterized as </w:t>
      </w:r>
      <w:r w:rsidRPr="00D17B55">
        <w:rPr>
          <w:u w:val="single"/>
        </w:rPr>
        <w:t>intra-DU CLI</w:t>
      </w:r>
      <w:r w:rsidRPr="00D17B55">
        <w:t xml:space="preserve">. </w:t>
      </w:r>
    </w:p>
    <w:p w14:paraId="51A14655" w14:textId="77777777" w:rsidR="00FD1CF2" w:rsidRPr="00D17B55" w:rsidRDefault="00FD1CF2" w:rsidP="00FD1CF2">
      <w:r w:rsidRPr="00D17B55">
        <w:t xml:space="preserve">However, the DU can determine, based on its implementation (e.g., a multi-TRP implementation) and autonomous measurements, whether it can support dynamic TDD across its cells. DU can hence indicate this capability to the CU to allow for more efficient IAB-DU resource configurations by the CU. </w:t>
      </w:r>
    </w:p>
    <w:p w14:paraId="3314065E" w14:textId="77777777" w:rsidR="00FD1CF2" w:rsidRPr="00D17B55" w:rsidRDefault="00FD1CF2" w:rsidP="00FD1CF2">
      <w:pPr>
        <w:jc w:val="both"/>
        <w:rPr>
          <w:b/>
          <w:bCs/>
        </w:rPr>
      </w:pPr>
      <w:r w:rsidRPr="00D17B55">
        <w:rPr>
          <w:b/>
          <w:bCs/>
          <w:u w:val="single"/>
        </w:rPr>
        <w:t>Observation 3.</w:t>
      </w:r>
      <w:r>
        <w:rPr>
          <w:b/>
          <w:bCs/>
          <w:u w:val="single"/>
        </w:rPr>
        <w:t>3</w:t>
      </w:r>
      <w:r w:rsidRPr="00D17B55">
        <w:rPr>
          <w:b/>
          <w:bCs/>
          <w:u w:val="single"/>
        </w:rPr>
        <w:t>:</w:t>
      </w:r>
      <w:r w:rsidRPr="00D17B55">
        <w:rPr>
          <w:b/>
          <w:bCs/>
        </w:rPr>
        <w:t xml:space="preserve"> </w:t>
      </w:r>
    </w:p>
    <w:p w14:paraId="224515AC" w14:textId="77777777" w:rsidR="00FD1CF2" w:rsidRPr="00D17B55" w:rsidRDefault="00FD1CF2" w:rsidP="00FD1CF2">
      <w:pPr>
        <w:jc w:val="both"/>
        <w:rPr>
          <w:b/>
          <w:bCs/>
        </w:rPr>
      </w:pPr>
      <w:r w:rsidRPr="00D17B55">
        <w:rPr>
          <w:b/>
          <w:bCs/>
        </w:rPr>
        <w:t xml:space="preserve">A DU may or may not be capable of supporting </w:t>
      </w:r>
      <w:r>
        <w:rPr>
          <w:b/>
          <w:bCs/>
        </w:rPr>
        <w:t>misaligned</w:t>
      </w:r>
      <w:r w:rsidRPr="00D17B55">
        <w:rPr>
          <w:b/>
          <w:bCs/>
        </w:rPr>
        <w:t xml:space="preserve"> TDD </w:t>
      </w:r>
      <w:r>
        <w:rPr>
          <w:b/>
          <w:bCs/>
        </w:rPr>
        <w:t xml:space="preserve">patterns </w:t>
      </w:r>
      <w:r w:rsidRPr="00D17B55">
        <w:rPr>
          <w:b/>
          <w:bCs/>
        </w:rPr>
        <w:t>across its served cells – e.g. (DU cell m TX, DU cell n RX).</w:t>
      </w:r>
    </w:p>
    <w:p w14:paraId="4F5D32F0" w14:textId="77777777" w:rsidR="00FD1CF2" w:rsidRPr="00D17B55" w:rsidRDefault="00FD1CF2" w:rsidP="00FD1CF2">
      <w:pPr>
        <w:jc w:val="both"/>
        <w:rPr>
          <w:b/>
          <w:bCs/>
        </w:rPr>
      </w:pPr>
      <w:r w:rsidRPr="00D17B55">
        <w:rPr>
          <w:b/>
          <w:bCs/>
          <w:u w:val="single"/>
        </w:rPr>
        <w:t>Proposal 3.</w:t>
      </w:r>
      <w:r>
        <w:rPr>
          <w:b/>
          <w:bCs/>
          <w:u w:val="single"/>
        </w:rPr>
        <w:t>2:</w:t>
      </w:r>
      <w:r w:rsidRPr="00D17B55">
        <w:rPr>
          <w:b/>
          <w:bCs/>
        </w:rPr>
        <w:t xml:space="preserve"> </w:t>
      </w:r>
    </w:p>
    <w:p w14:paraId="4577F7A8" w14:textId="77777777" w:rsidR="00FD1CF2" w:rsidRPr="00D17B55" w:rsidRDefault="00FD1CF2" w:rsidP="00FD1CF2">
      <w:pPr>
        <w:jc w:val="both"/>
        <w:rPr>
          <w:b/>
          <w:bCs/>
        </w:rPr>
      </w:pPr>
      <w:r w:rsidRPr="00D17B55">
        <w:rPr>
          <w:b/>
          <w:bCs/>
        </w:rPr>
        <w:t>Support IAB-DU reporting multiplexing capability across its served cells (DU cell m TX, DU cell n RX).</w:t>
      </w:r>
    </w:p>
    <w:p w14:paraId="2664B309" w14:textId="77777777" w:rsidR="00FD1CF2" w:rsidRDefault="00FD1CF2" w:rsidP="00FD1CF2"/>
    <w:p w14:paraId="0035334B" w14:textId="77777777" w:rsidR="00FD1CF2" w:rsidRDefault="00FD1CF2" w:rsidP="00FD1CF2">
      <w:pPr>
        <w:keepNext/>
        <w:keepLines/>
        <w:spacing w:before="120"/>
        <w:outlineLvl w:val="2"/>
        <w:rPr>
          <w:rFonts w:ascii="Arial" w:hAnsi="Arial"/>
          <w:sz w:val="28"/>
        </w:rPr>
      </w:pPr>
      <w:r>
        <w:rPr>
          <w:rFonts w:ascii="Arial" w:hAnsi="Arial"/>
          <w:sz w:val="28"/>
        </w:rPr>
        <w:lastRenderedPageBreak/>
        <w:t>Enhancements to Rel-16 CLI framework</w:t>
      </w:r>
    </w:p>
    <w:p w14:paraId="13FD819E" w14:textId="77777777" w:rsidR="00FD1CF2" w:rsidRDefault="00FD1CF2" w:rsidP="00FD1CF2">
      <w:pPr>
        <w:rPr>
          <w:rFonts w:asciiTheme="majorBidi" w:hAnsiTheme="majorBidi" w:cstheme="majorBidi"/>
        </w:rPr>
      </w:pPr>
      <w:r w:rsidRPr="006A32AA">
        <w:rPr>
          <w:rFonts w:asciiTheme="majorBidi" w:hAnsiTheme="majorBidi" w:cstheme="majorBidi"/>
        </w:rPr>
        <w:t>RAN1</w:t>
      </w:r>
      <w:r>
        <w:rPr>
          <w:rFonts w:asciiTheme="majorBidi" w:hAnsiTheme="majorBidi" w:cstheme="majorBidi"/>
        </w:rPr>
        <w:t xml:space="preserve"> #105-e discussed various proposals to enhance Rel-16 CLI. The following FL proposal (although not agreed) summarizes some of the proposals.</w:t>
      </w:r>
    </w:p>
    <w:tbl>
      <w:tblPr>
        <w:tblStyle w:val="TableGrid"/>
        <w:tblW w:w="0" w:type="auto"/>
        <w:tblLook w:val="04A0" w:firstRow="1" w:lastRow="0" w:firstColumn="1" w:lastColumn="0" w:noHBand="0" w:noVBand="1"/>
      </w:tblPr>
      <w:tblGrid>
        <w:gridCol w:w="9350"/>
      </w:tblGrid>
      <w:tr w:rsidR="00FD1CF2" w:rsidRPr="00B823CC" w14:paraId="1D3C1105" w14:textId="77777777" w:rsidTr="008E78D2">
        <w:tc>
          <w:tcPr>
            <w:tcW w:w="9350" w:type="dxa"/>
            <w:shd w:val="clear" w:color="auto" w:fill="auto"/>
          </w:tcPr>
          <w:p w14:paraId="7F6234CE" w14:textId="77777777" w:rsidR="00FD1CF2" w:rsidRPr="009F28ED" w:rsidRDefault="00FD1CF2" w:rsidP="008E78D2">
            <w:pPr>
              <w:rPr>
                <w:b/>
                <w:bCs/>
                <w:u w:val="single"/>
              </w:rPr>
            </w:pPr>
            <w:bookmarkStart w:id="5" w:name="_Hlk70433227"/>
            <w:r w:rsidRPr="009F28ED">
              <w:rPr>
                <w:b/>
                <w:bCs/>
                <w:highlight w:val="lightGray"/>
                <w:u w:val="single"/>
              </w:rPr>
              <w:t>FL Proposal 2.2-v3:</w:t>
            </w:r>
          </w:p>
          <w:p w14:paraId="7590CA0F" w14:textId="77777777" w:rsidR="00FD1CF2" w:rsidRPr="009F28ED" w:rsidRDefault="00FD1CF2" w:rsidP="008E78D2">
            <w:pPr>
              <w:rPr>
                <w:b/>
                <w:bCs/>
              </w:rPr>
            </w:pPr>
            <w:r w:rsidRPr="009F28ED">
              <w:rPr>
                <w:b/>
                <w:bCs/>
              </w:rPr>
              <w:t>Support a parent-node receiving CLI measurements of the child nodes.</w:t>
            </w:r>
          </w:p>
          <w:p w14:paraId="4EA4A433" w14:textId="77777777" w:rsidR="00FD1CF2" w:rsidRPr="00A4526A" w:rsidRDefault="00FD1CF2" w:rsidP="008E78D2">
            <w:pPr>
              <w:rPr>
                <w:b/>
                <w:bCs/>
              </w:rPr>
            </w:pPr>
            <w:r w:rsidRPr="009F28ED">
              <w:rPr>
                <w:b/>
                <w:bCs/>
              </w:rPr>
              <w:t>FFS support a parent-node determining the configuration of CLI measurements of the child nodes.</w:t>
            </w:r>
            <w:r w:rsidRPr="000D6BE8">
              <w:rPr>
                <w:b/>
                <w:bCs/>
              </w:rPr>
              <w:t xml:space="preserve"> </w:t>
            </w:r>
          </w:p>
        </w:tc>
      </w:tr>
      <w:bookmarkEnd w:id="5"/>
    </w:tbl>
    <w:p w14:paraId="2465B426" w14:textId="77777777" w:rsidR="00FD1CF2" w:rsidRDefault="00FD1CF2" w:rsidP="00FD1CF2">
      <w:pPr>
        <w:rPr>
          <w:rFonts w:asciiTheme="majorBidi" w:hAnsiTheme="majorBidi" w:cstheme="majorBidi"/>
        </w:rPr>
      </w:pPr>
    </w:p>
    <w:p w14:paraId="6CBCECA5" w14:textId="77777777" w:rsidR="00FD1CF2" w:rsidRDefault="00FD1CF2" w:rsidP="00FD1CF2">
      <w:pPr>
        <w:jc w:val="both"/>
      </w:pPr>
      <w:r>
        <w:t>The above FL proposal attempts to address the following concerns with the Rel-16 CLI.</w:t>
      </w:r>
    </w:p>
    <w:p w14:paraId="26CF63CA" w14:textId="77777777" w:rsidR="00FD1CF2" w:rsidRDefault="00FD1CF2" w:rsidP="00FD1CF2">
      <w:pPr>
        <w:jc w:val="both"/>
      </w:pPr>
      <w:r>
        <w:t>T</w:t>
      </w:r>
      <w:r w:rsidRPr="00D17B55">
        <w:t xml:space="preserve">he Rel-16 CLI framework is primarily a </w:t>
      </w:r>
      <w:r w:rsidRPr="006A5087">
        <w:rPr>
          <w:u w:val="single"/>
        </w:rPr>
        <w:t>centralized (layer-3) procedure</w:t>
      </w:r>
      <w:r w:rsidRPr="00D17B55">
        <w:t>. More specifically, the CLI measurement objects are RRC configured, and the CLI measurement reports are L3 report</w:t>
      </w:r>
      <w:r>
        <w:t>s</w:t>
      </w:r>
      <w:r w:rsidRPr="00D17B55">
        <w:t xml:space="preserve"> sent to the CU. Hence, the DU is not involved in configuring the measurements, and more importantly does not get to know about the result of CLI measurements by its served UEs. This might have been fine for the UEs, who constantly move around, and their beams and interference profiles change dynamically. However, in an IAB-network, IAB-MTs are (i) [typically] static, (ii) their beams may change only occasionally, and (iii) they typically have a higher TX power than UEs. </w:t>
      </w:r>
      <w:r w:rsidRPr="00D17B55">
        <w:rPr>
          <w:i/>
          <w:iCs/>
        </w:rPr>
        <w:t>Hence, they may be subject to a strong and persistent CLI from another IAB-node (MT).</w:t>
      </w:r>
      <w:r w:rsidRPr="00D17B55">
        <w:t xml:space="preserve"> Furthermore, IAB-MTs carry BH traffic and any degradation to their performance (e.g., due to CLI) will have a more significant impact compared to UEs. </w:t>
      </w:r>
    </w:p>
    <w:p w14:paraId="7D33FAF2" w14:textId="7BE4FA62" w:rsidR="00FD1CF2" w:rsidRDefault="00FD1CF2" w:rsidP="00FD1CF2">
      <w:pPr>
        <w:jc w:val="both"/>
      </w:pPr>
      <w:r>
        <w:t xml:space="preserve">There is one argument that, indeed due to the </w:t>
      </w:r>
      <w:r w:rsidR="001C0674">
        <w:t>static nature</w:t>
      </w:r>
      <w:r>
        <w:t xml:space="preserve"> of IAB-nodes, CU can centrally manage MT’s CLI. This would be possible e.g., if the CU can orthogonalize the allocated resources to two interfering IAB-MTs or align their TDD. However, this may not be feasible or efficient at least in two cases: (1) in case, IAB-MTs are associated with different CUs (due to lack of required Xn coordination), and (2) without </w:t>
      </w:r>
      <w:r w:rsidRPr="00D528FD">
        <w:rPr>
          <w:i/>
          <w:iCs/>
        </w:rPr>
        <w:t>child-specific</w:t>
      </w:r>
      <w:r>
        <w:t xml:space="preserve"> resource allocation (which is not agreed yet), the whole </w:t>
      </w:r>
      <w:r w:rsidRPr="00D528FD">
        <w:rPr>
          <w:i/>
          <w:iCs/>
        </w:rPr>
        <w:t>cell-specific</w:t>
      </w:r>
      <w:r>
        <w:t xml:space="preserve"> resources (of the parent-nodes of the interfering IAB-MTs) should be orthogonalized (or be TDD-aligned) which is certainly not efficient. </w:t>
      </w:r>
    </w:p>
    <w:p w14:paraId="4E2F0974" w14:textId="77777777" w:rsidR="00FD1CF2" w:rsidRDefault="00FD1CF2" w:rsidP="00FD1CF2">
      <w:pPr>
        <w:jc w:val="both"/>
      </w:pPr>
      <w:r>
        <w:t xml:space="preserve">One way to realize the FL proposal is to introduce lower-layer (L1/L2) CLI management framework. However, this may require a big change to the spec. Alternatively, we propose CU can share with an IAB-DU the result of CLI measurements of it chid IAB-MTs. For example, CU may provide an IAB-DU with a list of child IAB-MTs that are subject to strong CLI from a neighbouring DU cell. We note this proposal will nicely match with Rel-16 intended TDD DL-UL Configuration signalling. That is, if a child IAB-MT is subject to strong CLI from a neighbouring cell X, the parent-node can be provided with such an information along with the intended TDD configuration of cell X. The parent-node can then attempt to schedule the child IAB-MT on the resources that will not be impacted by the CLI from cell X. </w:t>
      </w:r>
    </w:p>
    <w:p w14:paraId="7D8A8493" w14:textId="77777777" w:rsidR="00FD1CF2" w:rsidRPr="00D17B55" w:rsidRDefault="00FD1CF2" w:rsidP="00FD1CF2">
      <w:pPr>
        <w:jc w:val="both"/>
        <w:rPr>
          <w:b/>
          <w:bCs/>
        </w:rPr>
      </w:pPr>
      <w:r>
        <w:rPr>
          <w:b/>
          <w:bCs/>
          <w:u w:val="single"/>
        </w:rPr>
        <w:t>Observation</w:t>
      </w:r>
      <w:r w:rsidRPr="00D17B55">
        <w:rPr>
          <w:b/>
          <w:bCs/>
          <w:u w:val="single"/>
        </w:rPr>
        <w:t xml:space="preserve"> 3.</w:t>
      </w:r>
      <w:r>
        <w:rPr>
          <w:b/>
          <w:bCs/>
          <w:u w:val="single"/>
        </w:rPr>
        <w:t>4</w:t>
      </w:r>
      <w:r w:rsidRPr="00D17B55">
        <w:rPr>
          <w:b/>
          <w:bCs/>
          <w:u w:val="single"/>
        </w:rPr>
        <w:t>:</w:t>
      </w:r>
      <w:r w:rsidRPr="00D17B55">
        <w:rPr>
          <w:b/>
          <w:bCs/>
        </w:rPr>
        <w:t xml:space="preserve"> </w:t>
      </w:r>
    </w:p>
    <w:p w14:paraId="460CE8A6" w14:textId="77777777" w:rsidR="00FD1CF2" w:rsidRDefault="00FD1CF2" w:rsidP="00FD1CF2">
      <w:pPr>
        <w:jc w:val="both"/>
        <w:rPr>
          <w:b/>
          <w:bCs/>
        </w:rPr>
      </w:pPr>
      <w:r>
        <w:rPr>
          <w:b/>
          <w:bCs/>
        </w:rPr>
        <w:t xml:space="preserve">CU may not be able to efficiently handle the CLI impact on an IAB-MT, due at least to (a) lack of required coordination across CUs, and (b) lack of support for child-specific IAB resource management. </w:t>
      </w:r>
    </w:p>
    <w:p w14:paraId="7845FBD9" w14:textId="77777777" w:rsidR="00FD1CF2" w:rsidRPr="00D17B55" w:rsidRDefault="00FD1CF2" w:rsidP="00FD1CF2">
      <w:pPr>
        <w:jc w:val="both"/>
        <w:rPr>
          <w:b/>
          <w:bCs/>
        </w:rPr>
      </w:pPr>
      <w:r>
        <w:rPr>
          <w:b/>
          <w:bCs/>
        </w:rPr>
        <w:t>A parent-node, with the knowledge of intended TDD DL-UL configuration of a neighbouring DU cell and a list of its child-nodes that are subject to strong CLI from this neighbouring cell, can efficiently avoid CLI impact by properly scheduling the child-nodes.</w:t>
      </w:r>
    </w:p>
    <w:p w14:paraId="2FDBA1FA" w14:textId="77777777" w:rsidR="00FD1CF2" w:rsidRDefault="00FD1CF2" w:rsidP="00FD1CF2">
      <w:pPr>
        <w:jc w:val="both"/>
        <w:rPr>
          <w:b/>
          <w:bCs/>
          <w:u w:val="single"/>
        </w:rPr>
      </w:pPr>
    </w:p>
    <w:p w14:paraId="17E1CE43" w14:textId="77777777" w:rsidR="00FD1CF2" w:rsidRPr="00D17B55" w:rsidRDefault="00FD1CF2" w:rsidP="00FD1CF2">
      <w:pPr>
        <w:jc w:val="both"/>
        <w:rPr>
          <w:b/>
          <w:bCs/>
        </w:rPr>
      </w:pPr>
      <w:r w:rsidRPr="00D17B55">
        <w:rPr>
          <w:b/>
          <w:bCs/>
          <w:u w:val="single"/>
        </w:rPr>
        <w:t>Proposal 3.</w:t>
      </w:r>
      <w:r>
        <w:rPr>
          <w:b/>
          <w:bCs/>
          <w:u w:val="single"/>
        </w:rPr>
        <w:t>3</w:t>
      </w:r>
      <w:r w:rsidRPr="00D17B55">
        <w:rPr>
          <w:b/>
          <w:bCs/>
          <w:u w:val="single"/>
        </w:rPr>
        <w:t>:</w:t>
      </w:r>
      <w:r w:rsidRPr="00D17B55">
        <w:rPr>
          <w:b/>
          <w:bCs/>
        </w:rPr>
        <w:t xml:space="preserve"> </w:t>
      </w:r>
    </w:p>
    <w:p w14:paraId="4CB29D08" w14:textId="77777777" w:rsidR="00FD1CF2" w:rsidRPr="00A47287" w:rsidRDefault="00FD1CF2" w:rsidP="00FD1CF2">
      <w:pPr>
        <w:jc w:val="both"/>
        <w:rPr>
          <w:b/>
          <w:bCs/>
        </w:rPr>
      </w:pPr>
      <w:r w:rsidRPr="00A47287">
        <w:rPr>
          <w:b/>
          <w:bCs/>
        </w:rPr>
        <w:t>Support a parent-node receiving</w:t>
      </w:r>
      <w:r>
        <w:rPr>
          <w:b/>
          <w:bCs/>
        </w:rPr>
        <w:t>, from the CU,</w:t>
      </w:r>
      <w:r w:rsidRPr="00A47287">
        <w:rPr>
          <w:b/>
          <w:bCs/>
        </w:rPr>
        <w:t xml:space="preserve"> </w:t>
      </w:r>
      <w:r>
        <w:rPr>
          <w:b/>
          <w:bCs/>
        </w:rPr>
        <w:t xml:space="preserve">the result of </w:t>
      </w:r>
      <w:r w:rsidRPr="00A47287">
        <w:rPr>
          <w:b/>
          <w:bCs/>
        </w:rPr>
        <w:t>CLI measurements of the child nodes</w:t>
      </w:r>
      <w:r>
        <w:rPr>
          <w:b/>
          <w:bCs/>
        </w:rPr>
        <w:t>.</w:t>
      </w:r>
    </w:p>
    <w:p w14:paraId="7B3F1AB0" w14:textId="77777777" w:rsidR="00FD1CF2" w:rsidRPr="00D17B55" w:rsidRDefault="00FD1CF2" w:rsidP="00FD1CF2">
      <w:pPr>
        <w:jc w:val="both"/>
        <w:rPr>
          <w:b/>
          <w:bCs/>
        </w:rPr>
      </w:pPr>
      <w:r>
        <w:rPr>
          <w:b/>
          <w:bCs/>
        </w:rPr>
        <w:t xml:space="preserve">The provided information can be in the form of a list of </w:t>
      </w:r>
      <w:r w:rsidRPr="00D17B55">
        <w:rPr>
          <w:b/>
          <w:bCs/>
        </w:rPr>
        <w:t xml:space="preserve">child </w:t>
      </w:r>
      <w:r>
        <w:rPr>
          <w:b/>
          <w:bCs/>
        </w:rPr>
        <w:t>nodes that</w:t>
      </w:r>
      <w:r w:rsidRPr="00D17B55">
        <w:rPr>
          <w:b/>
          <w:bCs/>
        </w:rPr>
        <w:t xml:space="preserve"> are subject to strong CLI from </w:t>
      </w:r>
      <w:r>
        <w:rPr>
          <w:b/>
          <w:bCs/>
        </w:rPr>
        <w:t xml:space="preserve">associated </w:t>
      </w:r>
      <w:r w:rsidRPr="00D17B55">
        <w:rPr>
          <w:b/>
          <w:bCs/>
        </w:rPr>
        <w:t xml:space="preserve">neighbouring </w:t>
      </w:r>
      <w:r>
        <w:rPr>
          <w:b/>
          <w:bCs/>
        </w:rPr>
        <w:t>cells</w:t>
      </w:r>
      <w:r w:rsidRPr="00D17B55">
        <w:rPr>
          <w:b/>
          <w:bCs/>
        </w:rPr>
        <w:t xml:space="preserve">.  </w:t>
      </w:r>
    </w:p>
    <w:p w14:paraId="3EEFC986" w14:textId="77777777" w:rsidR="00FD1CF2" w:rsidRDefault="00FD1CF2" w:rsidP="00FD1CF2"/>
    <w:p w14:paraId="1012EFA0" w14:textId="77777777" w:rsidR="00FD1CF2" w:rsidRDefault="00FD1CF2" w:rsidP="00FD1CF2">
      <w:pPr>
        <w:rPr>
          <w:rFonts w:asciiTheme="majorBidi" w:hAnsiTheme="majorBidi" w:cstheme="majorBidi"/>
        </w:rPr>
      </w:pPr>
      <w:r w:rsidRPr="006A32AA">
        <w:rPr>
          <w:rFonts w:asciiTheme="majorBidi" w:hAnsiTheme="majorBidi" w:cstheme="majorBidi"/>
        </w:rPr>
        <w:t>RAN1</w:t>
      </w:r>
      <w:r>
        <w:rPr>
          <w:rFonts w:asciiTheme="majorBidi" w:hAnsiTheme="majorBidi" w:cstheme="majorBidi"/>
        </w:rPr>
        <w:t xml:space="preserve"> #105-e further agreed to the following in the context of Rel-16 CLI enhancement.</w:t>
      </w:r>
    </w:p>
    <w:tbl>
      <w:tblPr>
        <w:tblStyle w:val="TableGrid"/>
        <w:tblW w:w="0" w:type="auto"/>
        <w:tblLook w:val="04A0" w:firstRow="1" w:lastRow="0" w:firstColumn="1" w:lastColumn="0" w:noHBand="0" w:noVBand="1"/>
      </w:tblPr>
      <w:tblGrid>
        <w:gridCol w:w="9629"/>
      </w:tblGrid>
      <w:tr w:rsidR="00FD1CF2" w14:paraId="323BE218" w14:textId="77777777" w:rsidTr="008E78D2">
        <w:tc>
          <w:tcPr>
            <w:tcW w:w="9629" w:type="dxa"/>
          </w:tcPr>
          <w:p w14:paraId="417F8DB7" w14:textId="77777777" w:rsidR="00FD1CF2" w:rsidRPr="00323383" w:rsidRDefault="00FD1CF2" w:rsidP="008E78D2">
            <w:pPr>
              <w:rPr>
                <w:b/>
                <w:bCs/>
                <w:highlight w:val="green"/>
              </w:rPr>
            </w:pPr>
            <w:r w:rsidRPr="00323383">
              <w:rPr>
                <w:b/>
                <w:bCs/>
                <w:highlight w:val="green"/>
              </w:rPr>
              <w:t>Agreement</w:t>
            </w:r>
          </w:p>
          <w:p w14:paraId="556C6EFC" w14:textId="77777777" w:rsidR="00FD1CF2" w:rsidRPr="00323383" w:rsidRDefault="00FD1CF2" w:rsidP="008E78D2">
            <w:pPr>
              <w:rPr>
                <w:b/>
              </w:rPr>
            </w:pPr>
            <w:r w:rsidRPr="00323383">
              <w:rPr>
                <w:b/>
              </w:rPr>
              <w:t>Rel-16 CLI coordination signalling (Intended TDD DL-UL Configuration) is extended to support IAB specific UFD patterns.</w:t>
            </w:r>
          </w:p>
          <w:p w14:paraId="3BEA9AA8" w14:textId="77777777" w:rsidR="00FD1CF2" w:rsidRPr="005058D7" w:rsidRDefault="00FD1CF2" w:rsidP="00FD1CF2">
            <w:pPr>
              <w:numPr>
                <w:ilvl w:val="0"/>
                <w:numId w:val="35"/>
              </w:numPr>
              <w:overflowPunct/>
              <w:autoSpaceDE/>
              <w:autoSpaceDN/>
              <w:adjustRightInd/>
              <w:spacing w:after="0"/>
              <w:textAlignment w:val="auto"/>
              <w:rPr>
                <w:rFonts w:cs="Times"/>
                <w:b/>
              </w:rPr>
            </w:pPr>
            <w:r w:rsidRPr="00323383">
              <w:rPr>
                <w:b/>
              </w:rPr>
              <w:lastRenderedPageBreak/>
              <w:t>FFS: Support the exchange of IAB-DU H/S/NA resource configuration information among neighbouring IAB-nodes/IAB-donors for CLI management purposes.</w:t>
            </w:r>
          </w:p>
        </w:tc>
      </w:tr>
    </w:tbl>
    <w:p w14:paraId="3E5D7C00" w14:textId="77777777" w:rsidR="00FD1CF2" w:rsidRDefault="00FD1CF2" w:rsidP="00FD1CF2"/>
    <w:p w14:paraId="236AD834" w14:textId="77777777" w:rsidR="00FD1CF2" w:rsidRDefault="00FD1CF2" w:rsidP="00FD1CF2">
      <w:r>
        <w:t xml:space="preserve">We propose to also agree to the FFS item, primarily because the intended TDD configuration alone cannot provide sufficiently good information to help with CLI management in IAB. That is, without HSNA information, a DU should assume a neighbouring aggressor cell may use any/all of the resources (as if they are all allocated as HARD to the neighbouring cell) and may unnecessarily constrain its scheduling and resource utilization. The main argument against this FFS item seems to be the perceived large signalling overhead. However, we should note that (a) this signaling will be semi-static and not expected to be sent dynamically, and (b) it should be optional, hence the network may decide not to use it, in case the overhead is a concern.  </w:t>
      </w:r>
    </w:p>
    <w:p w14:paraId="54F51250" w14:textId="77777777" w:rsidR="00FD1CF2" w:rsidRPr="00D17B55" w:rsidRDefault="00FD1CF2" w:rsidP="00FD1CF2">
      <w:pPr>
        <w:jc w:val="both"/>
        <w:rPr>
          <w:b/>
          <w:bCs/>
        </w:rPr>
      </w:pPr>
      <w:r>
        <w:rPr>
          <w:b/>
          <w:bCs/>
          <w:u w:val="single"/>
        </w:rPr>
        <w:t>Observation</w:t>
      </w:r>
      <w:r w:rsidRPr="00D17B55">
        <w:rPr>
          <w:b/>
          <w:bCs/>
          <w:u w:val="single"/>
        </w:rPr>
        <w:t xml:space="preserve"> 3.</w:t>
      </w:r>
      <w:r>
        <w:rPr>
          <w:b/>
          <w:bCs/>
          <w:u w:val="single"/>
        </w:rPr>
        <w:t>5</w:t>
      </w:r>
      <w:r w:rsidRPr="00D17B55">
        <w:rPr>
          <w:b/>
          <w:bCs/>
          <w:u w:val="single"/>
        </w:rPr>
        <w:t>:</w:t>
      </w:r>
      <w:r w:rsidRPr="00D17B55">
        <w:rPr>
          <w:b/>
          <w:bCs/>
        </w:rPr>
        <w:t xml:space="preserve"> </w:t>
      </w:r>
    </w:p>
    <w:p w14:paraId="58CC7595" w14:textId="77777777" w:rsidR="00FD1CF2" w:rsidRDefault="00FD1CF2" w:rsidP="00FD1CF2">
      <w:pPr>
        <w:jc w:val="both"/>
        <w:rPr>
          <w:b/>
          <w:bCs/>
        </w:rPr>
      </w:pPr>
      <w:r>
        <w:rPr>
          <w:b/>
          <w:bCs/>
        </w:rPr>
        <w:t xml:space="preserve">Without </w:t>
      </w:r>
      <w:r w:rsidRPr="005100FE">
        <w:rPr>
          <w:b/>
          <w:bCs/>
        </w:rPr>
        <w:t>IAB-DU H/S/NA resource configuration</w:t>
      </w:r>
      <w:r>
        <w:rPr>
          <w:b/>
          <w:bCs/>
        </w:rPr>
        <w:t xml:space="preserve"> information, intended TDD DL-UL configuration alone is not good enough to efficiently handle CLI, because it may lead to an unnecessary restriction on a DU scheduler, and its resource utilization.  </w:t>
      </w:r>
    </w:p>
    <w:p w14:paraId="36C7ABE6" w14:textId="77777777" w:rsidR="00FD1CF2" w:rsidRDefault="00FD1CF2" w:rsidP="00FD1CF2">
      <w:pPr>
        <w:jc w:val="both"/>
        <w:rPr>
          <w:b/>
          <w:bCs/>
        </w:rPr>
      </w:pPr>
      <w:r>
        <w:rPr>
          <w:b/>
          <w:bCs/>
        </w:rPr>
        <w:t xml:space="preserve">The exchange of </w:t>
      </w:r>
      <w:r w:rsidRPr="005100FE">
        <w:rPr>
          <w:b/>
          <w:bCs/>
        </w:rPr>
        <w:t>IAB-DU H/S/NA resource configuration</w:t>
      </w:r>
      <w:r>
        <w:rPr>
          <w:b/>
          <w:bCs/>
        </w:rPr>
        <w:t xml:space="preserve"> information among neighboring nodes is expected be semi-static and optional. Hence, there should not be a major concern about signaling overhead.</w:t>
      </w:r>
    </w:p>
    <w:p w14:paraId="251A5712" w14:textId="77777777" w:rsidR="00FD1CF2" w:rsidRDefault="00FD1CF2" w:rsidP="00FD1CF2">
      <w:pPr>
        <w:jc w:val="both"/>
        <w:rPr>
          <w:b/>
          <w:bCs/>
          <w:u w:val="single"/>
        </w:rPr>
      </w:pPr>
    </w:p>
    <w:p w14:paraId="7E8B1012" w14:textId="77777777" w:rsidR="00FD1CF2" w:rsidRPr="00D17B55" w:rsidRDefault="00FD1CF2" w:rsidP="00FD1CF2">
      <w:pPr>
        <w:jc w:val="both"/>
        <w:rPr>
          <w:b/>
          <w:bCs/>
        </w:rPr>
      </w:pPr>
      <w:r w:rsidRPr="00D17B55">
        <w:rPr>
          <w:b/>
          <w:bCs/>
          <w:u w:val="single"/>
        </w:rPr>
        <w:t>Proposal 3.</w:t>
      </w:r>
      <w:r>
        <w:rPr>
          <w:b/>
          <w:bCs/>
          <w:u w:val="single"/>
        </w:rPr>
        <w:t>4</w:t>
      </w:r>
      <w:r w:rsidRPr="00D17B55">
        <w:rPr>
          <w:b/>
          <w:bCs/>
          <w:u w:val="single"/>
        </w:rPr>
        <w:t>:</w:t>
      </w:r>
      <w:r w:rsidRPr="00D17B55">
        <w:rPr>
          <w:b/>
          <w:bCs/>
        </w:rPr>
        <w:t xml:space="preserve"> </w:t>
      </w:r>
    </w:p>
    <w:p w14:paraId="37F48E22" w14:textId="77777777" w:rsidR="00FD1CF2" w:rsidRDefault="00FD1CF2" w:rsidP="00FD1CF2">
      <w:pPr>
        <w:rPr>
          <w:b/>
          <w:bCs/>
        </w:rPr>
      </w:pPr>
      <w:r w:rsidRPr="00725E4A">
        <w:rPr>
          <w:b/>
          <w:bCs/>
        </w:rPr>
        <w:t>Support the exchange of IAB-DU H/S/NA resource configuration information among neighbouring IAB-nodes/IAB-donors.</w:t>
      </w:r>
    </w:p>
    <w:p w14:paraId="3BFD711D" w14:textId="77777777" w:rsidR="00FD1CF2" w:rsidRPr="00D17B55" w:rsidRDefault="00FD1CF2" w:rsidP="00FD1CF2"/>
    <w:p w14:paraId="04E9394F" w14:textId="77777777" w:rsidR="00FD1CF2" w:rsidRPr="00D17B55" w:rsidRDefault="00FD1CF2" w:rsidP="00FD1CF2">
      <w:pPr>
        <w:keepNext/>
        <w:keepLines/>
        <w:spacing w:before="180"/>
        <w:outlineLvl w:val="1"/>
        <w:rPr>
          <w:rFonts w:ascii="Arial" w:hAnsi="Arial"/>
          <w:sz w:val="32"/>
        </w:rPr>
      </w:pPr>
      <w:r w:rsidRPr="00D17B55">
        <w:rPr>
          <w:rFonts w:ascii="Arial" w:hAnsi="Arial"/>
          <w:sz w:val="32"/>
        </w:rPr>
        <w:t>4. Power control</w:t>
      </w:r>
    </w:p>
    <w:p w14:paraId="02484207" w14:textId="77777777" w:rsidR="00FD1CF2" w:rsidRDefault="00FD1CF2" w:rsidP="00FD1CF2">
      <w:pPr>
        <w:jc w:val="both"/>
      </w:pPr>
      <w:r w:rsidRPr="00D17B55">
        <w:t xml:space="preserve">The following </w:t>
      </w:r>
      <w:r>
        <w:t xml:space="preserve">was agreed </w:t>
      </w:r>
      <w:r w:rsidRPr="00D17B55">
        <w:t>in RAN1</w:t>
      </w:r>
      <w:r>
        <w:t xml:space="preserve"> #</w:t>
      </w:r>
      <w:r w:rsidRPr="00D17B55">
        <w:t>10</w:t>
      </w:r>
      <w:r>
        <w:t>5-</w:t>
      </w:r>
      <w:r w:rsidRPr="00D17B55">
        <w:t>e:</w:t>
      </w:r>
    </w:p>
    <w:tbl>
      <w:tblPr>
        <w:tblStyle w:val="TableGrid"/>
        <w:tblW w:w="0" w:type="auto"/>
        <w:tblLook w:val="04A0" w:firstRow="1" w:lastRow="0" w:firstColumn="1" w:lastColumn="0" w:noHBand="0" w:noVBand="1"/>
      </w:tblPr>
      <w:tblGrid>
        <w:gridCol w:w="9350"/>
      </w:tblGrid>
      <w:tr w:rsidR="00FD1CF2" w14:paraId="2CD9D053" w14:textId="77777777" w:rsidTr="008E78D2">
        <w:tc>
          <w:tcPr>
            <w:tcW w:w="9350" w:type="dxa"/>
            <w:shd w:val="clear" w:color="auto" w:fill="auto"/>
          </w:tcPr>
          <w:p w14:paraId="2919AE1B" w14:textId="77777777" w:rsidR="00FD1CF2" w:rsidRPr="00DE06E8" w:rsidRDefault="00FD1CF2" w:rsidP="008E78D2">
            <w:pPr>
              <w:rPr>
                <w:b/>
                <w:bCs/>
                <w:highlight w:val="green"/>
                <w:lang w:eastAsia="x-none"/>
              </w:rPr>
            </w:pPr>
            <w:r w:rsidRPr="00DE06E8">
              <w:rPr>
                <w:b/>
                <w:bCs/>
                <w:highlight w:val="green"/>
                <w:lang w:eastAsia="x-none"/>
              </w:rPr>
              <w:t>Agreement</w:t>
            </w:r>
          </w:p>
          <w:p w14:paraId="5939180D" w14:textId="77777777" w:rsidR="00FD1CF2" w:rsidRPr="00DE06E8" w:rsidRDefault="00FD1CF2" w:rsidP="008E78D2">
            <w:pPr>
              <w:rPr>
                <w:rFonts w:eastAsia="Calibri"/>
                <w:b/>
                <w:bCs/>
              </w:rPr>
            </w:pPr>
            <w:r w:rsidRPr="00DE06E8">
              <w:rPr>
                <w:rFonts w:eastAsia="Calibri"/>
                <w:b/>
                <w:bCs/>
              </w:rPr>
              <w:t>Decide in RAN1#106-e whether to support an IAB-node indicating assistance information to help with its MT’s UL TX power control. The assistance information can be:</w:t>
            </w:r>
          </w:p>
          <w:p w14:paraId="7E5C9E2F" w14:textId="77777777" w:rsidR="00FD1CF2" w:rsidRPr="00DE06E8" w:rsidRDefault="00FD1CF2" w:rsidP="00FD1CF2">
            <w:pPr>
              <w:pStyle w:val="ListParagraph"/>
              <w:numPr>
                <w:ilvl w:val="0"/>
                <w:numId w:val="35"/>
              </w:numPr>
              <w:overflowPunct/>
              <w:autoSpaceDE/>
              <w:autoSpaceDN/>
              <w:adjustRightInd/>
              <w:spacing w:after="0"/>
              <w:rPr>
                <w:rFonts w:eastAsia="MS PGothic"/>
                <w:b/>
                <w:bCs/>
                <w:lang w:eastAsia="ja-JP"/>
              </w:rPr>
            </w:pPr>
            <w:r w:rsidRPr="00DE06E8">
              <w:rPr>
                <w:b/>
                <w:bCs/>
              </w:rPr>
              <w:t>FFS: Desired TX power</w:t>
            </w:r>
          </w:p>
          <w:p w14:paraId="422D6DC1" w14:textId="77777777" w:rsidR="00FD1CF2" w:rsidRPr="00DE06E8" w:rsidRDefault="00FD1CF2" w:rsidP="00FD1CF2">
            <w:pPr>
              <w:pStyle w:val="ListParagraph"/>
              <w:numPr>
                <w:ilvl w:val="0"/>
                <w:numId w:val="35"/>
              </w:numPr>
              <w:overflowPunct/>
              <w:autoSpaceDE/>
              <w:autoSpaceDN/>
              <w:adjustRightInd/>
              <w:spacing w:after="0"/>
              <w:rPr>
                <w:rFonts w:eastAsia="MS PGothic"/>
                <w:b/>
                <w:bCs/>
                <w:lang w:eastAsia="ja-JP"/>
              </w:rPr>
            </w:pPr>
            <w:r w:rsidRPr="00DE06E8">
              <w:rPr>
                <w:b/>
                <w:bCs/>
              </w:rPr>
              <w:t>FFS: Offset to a baseline PHR</w:t>
            </w:r>
          </w:p>
          <w:p w14:paraId="63D8688B" w14:textId="77777777" w:rsidR="00FD1CF2" w:rsidRPr="00DE06E8" w:rsidRDefault="00FD1CF2" w:rsidP="00FD1CF2">
            <w:pPr>
              <w:pStyle w:val="ListParagraph"/>
              <w:numPr>
                <w:ilvl w:val="0"/>
                <w:numId w:val="35"/>
              </w:numPr>
              <w:overflowPunct/>
              <w:autoSpaceDE/>
              <w:autoSpaceDN/>
              <w:adjustRightInd/>
              <w:spacing w:after="0"/>
              <w:rPr>
                <w:rFonts w:eastAsia="MS PGothic"/>
                <w:b/>
                <w:bCs/>
                <w:lang w:eastAsia="ja-JP"/>
              </w:rPr>
            </w:pPr>
            <w:r w:rsidRPr="00DE06E8">
              <w:rPr>
                <w:b/>
                <w:bCs/>
              </w:rPr>
              <w:t>FFS: Desired dynamic range</w:t>
            </w:r>
          </w:p>
          <w:p w14:paraId="002F77C3" w14:textId="77777777" w:rsidR="00FD1CF2" w:rsidRPr="00DE06E8" w:rsidRDefault="00FD1CF2" w:rsidP="008E78D2">
            <w:pPr>
              <w:rPr>
                <w:b/>
                <w:bCs/>
              </w:rPr>
            </w:pPr>
            <w:r w:rsidRPr="00DE06E8">
              <w:rPr>
                <w:b/>
                <w:bCs/>
              </w:rPr>
              <w:t>FFS: whether this information is provided to the parent-node, the CU, or both.</w:t>
            </w:r>
          </w:p>
          <w:p w14:paraId="38123075" w14:textId="77777777" w:rsidR="00FD1CF2" w:rsidRPr="00E44E56" w:rsidRDefault="00FD1CF2" w:rsidP="008E78D2">
            <w:pPr>
              <w:rPr>
                <w:rFonts w:eastAsia="MS PGothic" w:cs="Times"/>
                <w:lang w:eastAsia="ja-JP"/>
              </w:rPr>
            </w:pPr>
            <w:r w:rsidRPr="00DE06E8">
              <w:rPr>
                <w:b/>
                <w:bCs/>
              </w:rPr>
              <w:t>FFS: whether the MT’s UL TX power control formula needs to be changed</w:t>
            </w:r>
            <w:r w:rsidRPr="00C55E2C">
              <w:rPr>
                <w:rFonts w:cs="Times"/>
              </w:rPr>
              <w:t xml:space="preserve"> </w:t>
            </w:r>
          </w:p>
        </w:tc>
      </w:tr>
    </w:tbl>
    <w:p w14:paraId="3B19BD85" w14:textId="77777777" w:rsidR="00FD1CF2" w:rsidRDefault="00FD1CF2" w:rsidP="00FD1CF2">
      <w:pPr>
        <w:jc w:val="both"/>
      </w:pPr>
    </w:p>
    <w:p w14:paraId="65886816" w14:textId="77777777" w:rsidR="00FD1CF2" w:rsidRDefault="00FD1CF2" w:rsidP="00FD1CF2">
      <w:r>
        <w:t>An IAB-node may have limitations to set its MT’s UL TX power due to any of the following reasons</w:t>
      </w:r>
      <w:r w:rsidRPr="00D17B55">
        <w:t>: (i) TX power imbalance</w:t>
      </w:r>
      <w:r>
        <w:t xml:space="preserve"> between MT TX and DU TX</w:t>
      </w:r>
      <w:r w:rsidRPr="00D17B55">
        <w:t>, (ii) TX power sharing</w:t>
      </w:r>
      <w:r>
        <w:t xml:space="preserve"> between MT and DU, (iii) excessive interference to DU RX. We further note that an IAB-node may dynamically switch between different multiplexing modes of operation over time. Using legacy tools, such as PHR signalling, to indicate/update the MT TX power constraint, whenever there is a switch, incurs large overhead, and latency. Alternatively, the MT UL power constraints can be indicated/associated with multiplexing modes, which will be more efficient.</w:t>
      </w:r>
    </w:p>
    <w:p w14:paraId="3D0E0CDA" w14:textId="5C6BA57A" w:rsidR="00FD1CF2" w:rsidRDefault="00FD1CF2" w:rsidP="00FD1CF2"/>
    <w:p w14:paraId="28B82332" w14:textId="3B2B01E4" w:rsidR="005235F9" w:rsidRDefault="005235F9" w:rsidP="00FD1CF2"/>
    <w:p w14:paraId="7BF461AA" w14:textId="6953AECA" w:rsidR="005235F9" w:rsidRDefault="005235F9" w:rsidP="00FD1CF2"/>
    <w:p w14:paraId="4A657B49" w14:textId="32377BAF" w:rsidR="005235F9" w:rsidRDefault="005235F9" w:rsidP="00FD1CF2"/>
    <w:p w14:paraId="1590AC16" w14:textId="77777777" w:rsidR="005235F9" w:rsidRDefault="005235F9" w:rsidP="00FD1CF2"/>
    <w:p w14:paraId="5F0FE082" w14:textId="77777777" w:rsidR="00FD1CF2" w:rsidRPr="00D17B55" w:rsidRDefault="00FD1CF2" w:rsidP="00FD1CF2">
      <w:pPr>
        <w:jc w:val="both"/>
        <w:rPr>
          <w:b/>
          <w:bCs/>
        </w:rPr>
      </w:pPr>
      <w:r w:rsidRPr="00D17B55">
        <w:rPr>
          <w:b/>
          <w:bCs/>
          <w:u w:val="single"/>
        </w:rPr>
        <w:lastRenderedPageBreak/>
        <w:t xml:space="preserve">Observation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7F24C8D8" w14:textId="77777777" w:rsidR="00FD1CF2" w:rsidRDefault="00FD1CF2" w:rsidP="00FD1CF2">
      <w:pPr>
        <w:contextualSpacing/>
        <w:jc w:val="both"/>
        <w:rPr>
          <w:b/>
          <w:bCs/>
        </w:rPr>
      </w:pPr>
      <w:r>
        <w:rPr>
          <w:b/>
          <w:bCs/>
        </w:rPr>
        <w:t>IAB-MT may have different U TX power constraints depending on its multiplexing mode of operation.</w:t>
      </w:r>
    </w:p>
    <w:p w14:paraId="4139FCB5" w14:textId="77777777" w:rsidR="00FD1CF2" w:rsidRDefault="00FD1CF2" w:rsidP="00FD1CF2">
      <w:pPr>
        <w:contextualSpacing/>
        <w:jc w:val="both"/>
        <w:rPr>
          <w:b/>
          <w:bCs/>
        </w:rPr>
      </w:pPr>
    </w:p>
    <w:p w14:paraId="68A07781" w14:textId="77777777" w:rsidR="00FD1CF2" w:rsidRDefault="00FD1CF2" w:rsidP="00FD1CF2">
      <w:pPr>
        <w:contextualSpacing/>
        <w:jc w:val="both"/>
        <w:rPr>
          <w:b/>
          <w:bCs/>
        </w:rPr>
      </w:pPr>
      <w:r>
        <w:rPr>
          <w:b/>
          <w:bCs/>
        </w:rPr>
        <w:t>Using legacy PHR signalling to indicate/update such MT’s UL TX constraints incurs overhead and latency, in case of dynamically switching between different multiplexing modes of operation.</w:t>
      </w:r>
    </w:p>
    <w:p w14:paraId="6F158234" w14:textId="77777777" w:rsidR="00FD1CF2" w:rsidRDefault="00FD1CF2" w:rsidP="00FD1CF2">
      <w:pPr>
        <w:contextualSpacing/>
        <w:jc w:val="both"/>
        <w:rPr>
          <w:b/>
          <w:bCs/>
        </w:rPr>
      </w:pPr>
    </w:p>
    <w:p w14:paraId="2730E5C6" w14:textId="77777777" w:rsidR="00FD1CF2" w:rsidRDefault="00FD1CF2" w:rsidP="00FD1CF2">
      <w:pPr>
        <w:contextualSpacing/>
        <w:jc w:val="both"/>
        <w:rPr>
          <w:b/>
          <w:bCs/>
        </w:rPr>
      </w:pPr>
      <w:r>
        <w:rPr>
          <w:b/>
          <w:bCs/>
        </w:rPr>
        <w:t xml:space="preserve">It is more efficient to indicate and associate MT’s UL TX power constraints with different multiplexing modes of operation. </w:t>
      </w:r>
    </w:p>
    <w:p w14:paraId="19EBB187" w14:textId="77777777" w:rsidR="00FD1CF2" w:rsidRDefault="00FD1CF2" w:rsidP="00FD1CF2">
      <w:pPr>
        <w:contextualSpacing/>
        <w:jc w:val="both"/>
        <w:rPr>
          <w:b/>
          <w:bCs/>
        </w:rPr>
      </w:pPr>
    </w:p>
    <w:p w14:paraId="02063E4C" w14:textId="77777777" w:rsidR="00FD1CF2" w:rsidRDefault="00FD1CF2" w:rsidP="00FD1CF2">
      <w:pPr>
        <w:contextualSpacing/>
        <w:jc w:val="both"/>
        <w:rPr>
          <w:b/>
          <w:bCs/>
        </w:rPr>
      </w:pPr>
    </w:p>
    <w:p w14:paraId="44908A34" w14:textId="77777777" w:rsidR="00FD1CF2" w:rsidRPr="00D17B55" w:rsidRDefault="00FD1CF2" w:rsidP="00FD1CF2">
      <w:pPr>
        <w:jc w:val="both"/>
        <w:rPr>
          <w:b/>
          <w:bCs/>
        </w:rPr>
      </w:pPr>
      <w:r w:rsidRPr="00D17B55">
        <w:rPr>
          <w:b/>
          <w:bCs/>
          <w:u w:val="single"/>
        </w:rPr>
        <w:t>Proposal 4.</w:t>
      </w:r>
      <w:r>
        <w:rPr>
          <w:b/>
          <w:bCs/>
          <w:u w:val="single"/>
        </w:rPr>
        <w:t>1</w:t>
      </w:r>
      <w:r w:rsidRPr="00D17B55">
        <w:rPr>
          <w:b/>
          <w:bCs/>
          <w:u w:val="single"/>
        </w:rPr>
        <w:t>:</w:t>
      </w:r>
      <w:r w:rsidRPr="00D17B55">
        <w:rPr>
          <w:b/>
          <w:bCs/>
        </w:rPr>
        <w:t xml:space="preserve"> </w:t>
      </w:r>
    </w:p>
    <w:p w14:paraId="7812C741" w14:textId="77777777" w:rsidR="00FD1CF2" w:rsidRDefault="00FD1CF2" w:rsidP="00FD1CF2">
      <w:pPr>
        <w:contextualSpacing/>
        <w:jc w:val="both"/>
        <w:rPr>
          <w:b/>
          <w:bCs/>
        </w:rPr>
      </w:pPr>
      <w:r>
        <w:rPr>
          <w:b/>
          <w:bCs/>
        </w:rPr>
        <w:t>S</w:t>
      </w:r>
      <w:r w:rsidRPr="00A129CD">
        <w:rPr>
          <w:b/>
          <w:bCs/>
        </w:rPr>
        <w:t>upport an IAB-node indicating assistance information to help with its MT’s UL TX power control</w:t>
      </w:r>
      <w:r>
        <w:rPr>
          <w:b/>
          <w:bCs/>
        </w:rPr>
        <w:t>.</w:t>
      </w:r>
    </w:p>
    <w:p w14:paraId="0372FBB5" w14:textId="77777777" w:rsidR="00FD1CF2" w:rsidRDefault="00FD1CF2" w:rsidP="00FD1CF2">
      <w:pPr>
        <w:pStyle w:val="ListParagraph"/>
        <w:numPr>
          <w:ilvl w:val="0"/>
          <w:numId w:val="8"/>
        </w:numPr>
        <w:tabs>
          <w:tab w:val="clear" w:pos="720"/>
          <w:tab w:val="num" w:pos="360"/>
        </w:tabs>
        <w:ind w:left="360"/>
        <w:jc w:val="both"/>
        <w:rPr>
          <w:b/>
          <w:bCs/>
        </w:rPr>
      </w:pPr>
      <w:r w:rsidRPr="00E86F3E">
        <w:rPr>
          <w:b/>
          <w:bCs/>
        </w:rPr>
        <w:t>The assistance information is indicated in terms of desired dynamic range</w:t>
      </w:r>
      <w:r>
        <w:rPr>
          <w:b/>
          <w:bCs/>
        </w:rPr>
        <w:t xml:space="preserve">, per multiplexing mode of operation. </w:t>
      </w:r>
    </w:p>
    <w:p w14:paraId="6D2F023A" w14:textId="77777777" w:rsidR="00FD1CF2" w:rsidRPr="00E86F3E" w:rsidRDefault="00FD1CF2" w:rsidP="00FD1CF2">
      <w:pPr>
        <w:pStyle w:val="ListParagraph"/>
        <w:numPr>
          <w:ilvl w:val="0"/>
          <w:numId w:val="8"/>
        </w:numPr>
        <w:tabs>
          <w:tab w:val="clear" w:pos="720"/>
          <w:tab w:val="num" w:pos="360"/>
        </w:tabs>
        <w:ind w:left="360"/>
        <w:jc w:val="both"/>
        <w:rPr>
          <w:b/>
          <w:bCs/>
        </w:rPr>
      </w:pPr>
      <w:r>
        <w:rPr>
          <w:b/>
          <w:bCs/>
        </w:rPr>
        <w:t xml:space="preserve">This information can be provided to either of the parent-node or the CU. </w:t>
      </w:r>
    </w:p>
    <w:p w14:paraId="3F75631B" w14:textId="77777777" w:rsidR="00FD1CF2" w:rsidRDefault="00FD1CF2" w:rsidP="00FD1CF2">
      <w:pPr>
        <w:contextualSpacing/>
        <w:jc w:val="both"/>
        <w:rPr>
          <w:b/>
          <w:bCs/>
        </w:rPr>
      </w:pPr>
      <w:r>
        <w:rPr>
          <w:b/>
          <w:bCs/>
        </w:rPr>
        <w:t xml:space="preserve"> </w:t>
      </w:r>
    </w:p>
    <w:p w14:paraId="1567DC5A" w14:textId="77777777" w:rsidR="00FD1CF2" w:rsidRDefault="00FD1CF2" w:rsidP="00FD1CF2">
      <w:pPr>
        <w:contextualSpacing/>
        <w:jc w:val="both"/>
      </w:pPr>
      <w:r w:rsidRPr="00D967EE">
        <w:t>RAN</w:t>
      </w:r>
      <w:r>
        <w:t>1 #105-e further agrees to the following.</w:t>
      </w:r>
    </w:p>
    <w:p w14:paraId="4C7D1E7E" w14:textId="77777777" w:rsidR="00FD1CF2" w:rsidRDefault="00FD1CF2" w:rsidP="00FD1CF2">
      <w:pPr>
        <w:contextualSpacing/>
        <w:jc w:val="both"/>
      </w:pPr>
    </w:p>
    <w:tbl>
      <w:tblPr>
        <w:tblStyle w:val="TableGrid"/>
        <w:tblW w:w="0" w:type="auto"/>
        <w:tblLook w:val="04A0" w:firstRow="1" w:lastRow="0" w:firstColumn="1" w:lastColumn="0" w:noHBand="0" w:noVBand="1"/>
      </w:tblPr>
      <w:tblGrid>
        <w:gridCol w:w="9629"/>
      </w:tblGrid>
      <w:tr w:rsidR="00FD1CF2" w14:paraId="71C81721" w14:textId="77777777" w:rsidTr="008E78D2">
        <w:tc>
          <w:tcPr>
            <w:tcW w:w="9629" w:type="dxa"/>
          </w:tcPr>
          <w:p w14:paraId="7707B1A5" w14:textId="77777777" w:rsidR="00FD1CF2" w:rsidRPr="0047301D" w:rsidRDefault="00FD1CF2" w:rsidP="008E78D2">
            <w:pPr>
              <w:rPr>
                <w:b/>
                <w:bCs/>
                <w:highlight w:val="yellow"/>
              </w:rPr>
            </w:pPr>
            <w:r w:rsidRPr="0047301D">
              <w:rPr>
                <w:b/>
                <w:bCs/>
                <w:highlight w:val="green"/>
              </w:rPr>
              <w:t>Agreement</w:t>
            </w:r>
          </w:p>
          <w:p w14:paraId="7D36FA07" w14:textId="77777777" w:rsidR="00FD1CF2" w:rsidRPr="0047301D" w:rsidRDefault="00FD1CF2" w:rsidP="008E78D2">
            <w:pPr>
              <w:rPr>
                <w:rFonts w:eastAsia="Calibri"/>
                <w:b/>
                <w:bCs/>
              </w:rPr>
            </w:pPr>
            <w:r w:rsidRPr="0047301D">
              <w:rPr>
                <w:rFonts w:eastAsia="Calibri"/>
                <w:b/>
                <w:bCs/>
              </w:rPr>
              <w:t>The information to assist DL power allocation of the parent-node is indicated by the IAB-MT to the parent node DU in terms of desired power adjustment.</w:t>
            </w:r>
          </w:p>
          <w:p w14:paraId="4122DEBF" w14:textId="77777777" w:rsidR="00FD1CF2" w:rsidRPr="00A450F0" w:rsidRDefault="00FD1CF2" w:rsidP="00FD1CF2">
            <w:pPr>
              <w:pStyle w:val="ListParagraph"/>
              <w:numPr>
                <w:ilvl w:val="0"/>
                <w:numId w:val="35"/>
              </w:numPr>
              <w:overflowPunct/>
              <w:autoSpaceDE/>
              <w:autoSpaceDN/>
              <w:adjustRightInd/>
              <w:spacing w:after="0"/>
              <w:rPr>
                <w:rFonts w:cs="Times"/>
                <w:b/>
                <w:bCs/>
              </w:rPr>
            </w:pPr>
            <w:r w:rsidRPr="0047301D">
              <w:rPr>
                <w:b/>
                <w:bCs/>
              </w:rPr>
              <w:t>FFS applicability of assistance information, e.g. per multiplexing scenario, per resource, etc.</w:t>
            </w:r>
          </w:p>
        </w:tc>
      </w:tr>
    </w:tbl>
    <w:p w14:paraId="242C53B6" w14:textId="77777777" w:rsidR="00FD1CF2" w:rsidRPr="00D967EE" w:rsidRDefault="00FD1CF2" w:rsidP="00FD1CF2">
      <w:pPr>
        <w:contextualSpacing/>
        <w:jc w:val="both"/>
      </w:pPr>
    </w:p>
    <w:p w14:paraId="5394375F" w14:textId="77777777" w:rsidR="00FD1CF2" w:rsidRDefault="00FD1CF2" w:rsidP="00FD1CF2"/>
    <w:p w14:paraId="781D1193" w14:textId="77777777" w:rsidR="00FD1CF2" w:rsidRPr="00E5298D" w:rsidRDefault="00FD1CF2" w:rsidP="00FD1CF2">
      <w:r>
        <w:t xml:space="preserve">Regarding the FFS item, in our view, </w:t>
      </w:r>
      <w:r w:rsidRPr="00E5298D">
        <w:t xml:space="preserve">this constraint should be indicated </w:t>
      </w:r>
      <w:r>
        <w:t>per</w:t>
      </w:r>
      <w:r w:rsidRPr="00E5298D">
        <w:t xml:space="preserve"> multiplexing mode of operation</w:t>
      </w:r>
      <w:r>
        <w:t>.</w:t>
      </w:r>
    </w:p>
    <w:p w14:paraId="0E381AFC" w14:textId="77777777" w:rsidR="00FD1CF2" w:rsidRPr="00D17B55" w:rsidRDefault="00FD1CF2" w:rsidP="00FD1CF2">
      <w:pPr>
        <w:jc w:val="both"/>
        <w:rPr>
          <w:b/>
          <w:bCs/>
        </w:rPr>
      </w:pPr>
      <w:r w:rsidRPr="00D17B55">
        <w:rPr>
          <w:b/>
          <w:bCs/>
          <w:u w:val="single"/>
        </w:rPr>
        <w:t>Proposal 4.</w:t>
      </w:r>
      <w:r>
        <w:rPr>
          <w:b/>
          <w:bCs/>
          <w:u w:val="single"/>
        </w:rPr>
        <w:t>2</w:t>
      </w:r>
      <w:r w:rsidRPr="00D17B55">
        <w:rPr>
          <w:b/>
          <w:bCs/>
          <w:u w:val="single"/>
        </w:rPr>
        <w:t>:</w:t>
      </w:r>
      <w:r w:rsidRPr="00D17B55">
        <w:rPr>
          <w:b/>
          <w:bCs/>
        </w:rPr>
        <w:t xml:space="preserve"> </w:t>
      </w:r>
    </w:p>
    <w:p w14:paraId="196FDC4A" w14:textId="77777777" w:rsidR="00FD1CF2" w:rsidRDefault="00FD1CF2" w:rsidP="00FD1CF2">
      <w:pPr>
        <w:contextualSpacing/>
        <w:jc w:val="both"/>
        <w:rPr>
          <w:b/>
          <w:bCs/>
        </w:rPr>
      </w:pPr>
      <w:r>
        <w:rPr>
          <w:b/>
          <w:bCs/>
        </w:rPr>
        <w:t xml:space="preserve">The desired DL TX power adjustment is indicated to the parent-node per multiplexing mode of operation. </w:t>
      </w:r>
    </w:p>
    <w:p w14:paraId="7362B2D6" w14:textId="77777777" w:rsidR="00FD1CF2" w:rsidRDefault="00FD1CF2" w:rsidP="00FD1CF2"/>
    <w:p w14:paraId="2C739F2C" w14:textId="77777777" w:rsidR="00FD1CF2" w:rsidRPr="00011382" w:rsidRDefault="00FD1CF2" w:rsidP="00FD1CF2">
      <w:pPr>
        <w:rPr>
          <w:i/>
          <w:iCs/>
        </w:rPr>
      </w:pPr>
      <w:r w:rsidRPr="00011382">
        <w:rPr>
          <w:i/>
          <w:iCs/>
        </w:rPr>
        <w:t>Does CU need to get involved with power control?</w:t>
      </w:r>
    </w:p>
    <w:p w14:paraId="6AAE3652" w14:textId="77777777" w:rsidR="00FD1CF2" w:rsidRDefault="00FD1CF2" w:rsidP="00FD1CF2">
      <w:r>
        <w:t>This question was discussed during RAN1 #104-e and #105-e. Some companies believe that since power control is a lower-layer (MAC) and local aspect, CU should not get involved. Some companies argue CU may not have sufficient information to coordinate DL/UL power control, or this can be done via network planning.</w:t>
      </w:r>
    </w:p>
    <w:p w14:paraId="3866D1BD" w14:textId="35007E8F" w:rsidR="00FD1CF2" w:rsidRDefault="00FD1CF2" w:rsidP="00FD1CF2">
      <w:r>
        <w:t xml:space="preserve">As discussed before, we believe network planning is not always possible or efficient to handle power/interference management. We further think the CU (especially in IAB networks) is in a unique position to take care of network-level coordination. CU may receive various information and measurement reports from its served nodes, and neighbouring CUs, that can be used for power/interference management. Such information may not be available at the DUs. </w:t>
      </w:r>
      <w:r w:rsidR="001C0674">
        <w:t>Also,</w:t>
      </w:r>
      <w:r>
        <w:t xml:space="preserve"> in case of dual-connected MT, DL/UL power management may have to coordinated between different parents (e.g., via CU). </w:t>
      </w:r>
    </w:p>
    <w:p w14:paraId="5B89135B" w14:textId="77777777" w:rsidR="00FD1CF2" w:rsidRDefault="00FD1CF2" w:rsidP="00FD1CF2">
      <w:r>
        <w:t>We also think of central power coordination as a natural extension of IAB resource management framework to also let the CU configure some limitations on the TX powers to allow more efficient resource utilization and interference management.</w:t>
      </w:r>
    </w:p>
    <w:p w14:paraId="34B85FC7" w14:textId="77777777" w:rsidR="00FD1CF2" w:rsidRDefault="00FD1CF2" w:rsidP="00FD1CF2"/>
    <w:p w14:paraId="203F2757" w14:textId="77777777" w:rsidR="00FD1CF2" w:rsidRPr="00D17B55" w:rsidRDefault="00FD1CF2" w:rsidP="00FD1CF2">
      <w:pPr>
        <w:jc w:val="both"/>
        <w:rPr>
          <w:b/>
          <w:bCs/>
        </w:rPr>
      </w:pPr>
      <w:r w:rsidRPr="00D17B55">
        <w:rPr>
          <w:b/>
          <w:bCs/>
          <w:u w:val="single"/>
        </w:rPr>
        <w:t xml:space="preserve">Observation </w:t>
      </w:r>
      <w:r>
        <w:rPr>
          <w:b/>
          <w:bCs/>
          <w:u w:val="single"/>
        </w:rPr>
        <w:t>4</w:t>
      </w:r>
      <w:r w:rsidRPr="00D17B55">
        <w:rPr>
          <w:b/>
          <w:bCs/>
          <w:u w:val="single"/>
        </w:rPr>
        <w:t>.</w:t>
      </w:r>
      <w:r>
        <w:rPr>
          <w:b/>
          <w:bCs/>
          <w:u w:val="single"/>
        </w:rPr>
        <w:t>2</w:t>
      </w:r>
      <w:r w:rsidRPr="00D17B55">
        <w:rPr>
          <w:b/>
          <w:bCs/>
          <w:u w:val="single"/>
        </w:rPr>
        <w:t>:</w:t>
      </w:r>
      <w:r w:rsidRPr="00D17B55">
        <w:rPr>
          <w:b/>
          <w:bCs/>
        </w:rPr>
        <w:t xml:space="preserve"> </w:t>
      </w:r>
    </w:p>
    <w:p w14:paraId="31D50A79" w14:textId="77777777" w:rsidR="00FD1CF2" w:rsidRDefault="00FD1CF2" w:rsidP="00FD1CF2">
      <w:pPr>
        <w:rPr>
          <w:b/>
          <w:bCs/>
        </w:rPr>
      </w:pPr>
      <w:r w:rsidRPr="00AC4B9F">
        <w:rPr>
          <w:b/>
          <w:bCs/>
        </w:rPr>
        <w:t>CU is in a unique position to assist with power management for interference coordination among different served nodes or nodes associated with neighbouring CUs</w:t>
      </w:r>
      <w:r>
        <w:rPr>
          <w:b/>
          <w:bCs/>
        </w:rPr>
        <w:t>,</w:t>
      </w:r>
      <w:r w:rsidRPr="00AC4B9F">
        <w:rPr>
          <w:b/>
          <w:bCs/>
        </w:rPr>
        <w:t xml:space="preserve"> in case of no </w:t>
      </w:r>
      <w:r>
        <w:rPr>
          <w:b/>
          <w:bCs/>
        </w:rPr>
        <w:t xml:space="preserve">strict </w:t>
      </w:r>
      <w:r w:rsidRPr="00AC4B9F">
        <w:rPr>
          <w:b/>
          <w:bCs/>
        </w:rPr>
        <w:t>network planning.</w:t>
      </w:r>
    </w:p>
    <w:p w14:paraId="54FFA3F0" w14:textId="77777777" w:rsidR="00FD1CF2" w:rsidRPr="00BE268D" w:rsidRDefault="00FD1CF2" w:rsidP="00FD1CF2">
      <w:pPr>
        <w:rPr>
          <w:b/>
          <w:bCs/>
        </w:rPr>
      </w:pPr>
      <w:r>
        <w:rPr>
          <w:b/>
          <w:bCs/>
        </w:rPr>
        <w:t xml:space="preserve">A </w:t>
      </w:r>
      <w:r w:rsidRPr="00BE268D">
        <w:rPr>
          <w:b/>
          <w:bCs/>
        </w:rPr>
        <w:t xml:space="preserve">central power coordination </w:t>
      </w:r>
      <w:r>
        <w:rPr>
          <w:b/>
          <w:bCs/>
        </w:rPr>
        <w:t xml:space="preserve">seems </w:t>
      </w:r>
      <w:r w:rsidRPr="00BE268D">
        <w:rPr>
          <w:b/>
          <w:bCs/>
        </w:rPr>
        <w:t xml:space="preserve">a natural extension of </w:t>
      </w:r>
      <w:r>
        <w:rPr>
          <w:b/>
          <w:bCs/>
        </w:rPr>
        <w:t xml:space="preserve">the </w:t>
      </w:r>
      <w:r w:rsidRPr="00BE268D">
        <w:rPr>
          <w:b/>
          <w:bCs/>
        </w:rPr>
        <w:t>IAB resource management framework to also let the CU configure some limitations on the TX powers to allow more efficient resource utilization and interference management.</w:t>
      </w:r>
    </w:p>
    <w:p w14:paraId="6E41222D" w14:textId="77777777" w:rsidR="00FD1CF2" w:rsidRDefault="00FD1CF2" w:rsidP="00FD1CF2">
      <w:pPr>
        <w:jc w:val="both"/>
        <w:rPr>
          <w:b/>
          <w:bCs/>
        </w:rPr>
      </w:pPr>
    </w:p>
    <w:p w14:paraId="53C8F914" w14:textId="77777777" w:rsidR="00FD1CF2" w:rsidRPr="00D17B55" w:rsidRDefault="00FD1CF2" w:rsidP="00FD1CF2">
      <w:pPr>
        <w:jc w:val="both"/>
        <w:rPr>
          <w:b/>
          <w:bCs/>
        </w:rPr>
      </w:pPr>
      <w:r w:rsidRPr="00D17B55">
        <w:rPr>
          <w:b/>
          <w:bCs/>
          <w:u w:val="single"/>
        </w:rPr>
        <w:t>Proposal 4.</w:t>
      </w:r>
      <w:r>
        <w:rPr>
          <w:b/>
          <w:bCs/>
          <w:u w:val="single"/>
        </w:rPr>
        <w:t>3</w:t>
      </w:r>
      <w:r w:rsidRPr="00D17B55">
        <w:rPr>
          <w:b/>
          <w:bCs/>
          <w:u w:val="single"/>
        </w:rPr>
        <w:t>:</w:t>
      </w:r>
      <w:r w:rsidRPr="00D17B55">
        <w:rPr>
          <w:b/>
          <w:bCs/>
        </w:rPr>
        <w:t xml:space="preserve"> </w:t>
      </w:r>
    </w:p>
    <w:p w14:paraId="60086149" w14:textId="77777777" w:rsidR="00FD1CF2" w:rsidRPr="00D17B55" w:rsidRDefault="00FD1CF2" w:rsidP="00FD1CF2">
      <w:pPr>
        <w:rPr>
          <w:b/>
          <w:bCs/>
        </w:rPr>
      </w:pPr>
      <w:r w:rsidRPr="00D17B55">
        <w:rPr>
          <w:b/>
          <w:bCs/>
        </w:rPr>
        <w:t xml:space="preserve">Support CU </w:t>
      </w:r>
      <w:r>
        <w:rPr>
          <w:b/>
          <w:bCs/>
        </w:rPr>
        <w:t xml:space="preserve">indicating information to coordinate the DL/UL power control. </w:t>
      </w:r>
    </w:p>
    <w:p w14:paraId="3C891260" w14:textId="77777777" w:rsidR="00FD1CF2" w:rsidRPr="00D17B55" w:rsidRDefault="00FD1CF2" w:rsidP="00FD1CF2">
      <w:pPr>
        <w:rPr>
          <w:b/>
          <w:bCs/>
        </w:rPr>
      </w:pPr>
    </w:p>
    <w:bookmarkEnd w:id="1"/>
    <w:bookmarkEnd w:id="2"/>
    <w:p w14:paraId="7192B315" w14:textId="77777777" w:rsidR="00FD1CF2" w:rsidRPr="00D17B55" w:rsidRDefault="00FD1CF2" w:rsidP="00FD1CF2">
      <w:pPr>
        <w:keepNext/>
        <w:keepLines/>
        <w:spacing w:before="180"/>
        <w:outlineLvl w:val="1"/>
        <w:rPr>
          <w:rFonts w:ascii="Arial" w:hAnsi="Arial"/>
          <w:sz w:val="32"/>
        </w:rPr>
      </w:pPr>
      <w:r w:rsidRPr="00D17B55">
        <w:rPr>
          <w:rFonts w:ascii="Arial" w:hAnsi="Arial"/>
          <w:sz w:val="32"/>
        </w:rPr>
        <w:t>Conclusion</w:t>
      </w:r>
    </w:p>
    <w:p w14:paraId="23ED0E0A" w14:textId="77777777" w:rsidR="00FD1CF2" w:rsidRDefault="00FD1CF2" w:rsidP="00FD1CF2">
      <w:r w:rsidRPr="00D17B55">
        <w:t>This contribution provided our view on additional enhancements for simultaneous operation of IAB-node's child and parent links. The following observations and proposals were made:</w:t>
      </w:r>
    </w:p>
    <w:p w14:paraId="58404E34" w14:textId="77777777" w:rsidR="00FD1CF2" w:rsidRPr="00D17B55" w:rsidRDefault="00FD1CF2" w:rsidP="00FD1CF2"/>
    <w:p w14:paraId="3605000D" w14:textId="77777777" w:rsidR="00FD1CF2" w:rsidRPr="00C073D1" w:rsidRDefault="00FD1CF2" w:rsidP="00FD1CF2">
      <w:pPr>
        <w:rPr>
          <w:i/>
          <w:iCs/>
          <w:u w:val="single"/>
        </w:rPr>
      </w:pPr>
      <w:r w:rsidRPr="00C073D1">
        <w:rPr>
          <w:i/>
          <w:iCs/>
          <w:u w:val="single"/>
        </w:rPr>
        <w:t xml:space="preserve">For the </w:t>
      </w:r>
      <w:r>
        <w:rPr>
          <w:i/>
          <w:iCs/>
          <w:u w:val="single"/>
        </w:rPr>
        <w:t>timing modes</w:t>
      </w:r>
      <w:r w:rsidRPr="00C073D1">
        <w:rPr>
          <w:i/>
          <w:iCs/>
          <w:u w:val="single"/>
        </w:rPr>
        <w:t>:</w:t>
      </w:r>
    </w:p>
    <w:p w14:paraId="78DFC06C" w14:textId="77777777" w:rsidR="00FD1CF2" w:rsidRPr="00D17B55" w:rsidRDefault="00FD1CF2" w:rsidP="00FD1CF2">
      <w:pPr>
        <w:jc w:val="both"/>
        <w:rPr>
          <w:b/>
          <w:bCs/>
        </w:rPr>
      </w:pPr>
      <w:r w:rsidRPr="00D17B55">
        <w:rPr>
          <w:b/>
          <w:bCs/>
          <w:u w:val="single"/>
        </w:rPr>
        <w:t xml:space="preserve">Observation </w:t>
      </w:r>
      <w:r>
        <w:rPr>
          <w:b/>
          <w:bCs/>
          <w:u w:val="single"/>
        </w:rPr>
        <w:t>2.1</w:t>
      </w:r>
      <w:r w:rsidRPr="00D17B55">
        <w:rPr>
          <w:b/>
          <w:bCs/>
          <w:u w:val="single"/>
        </w:rPr>
        <w:t>:</w:t>
      </w:r>
      <w:r w:rsidRPr="00D17B55">
        <w:rPr>
          <w:b/>
          <w:bCs/>
        </w:rPr>
        <w:t xml:space="preserve"> </w:t>
      </w:r>
    </w:p>
    <w:p w14:paraId="3AE5D6F0" w14:textId="77777777" w:rsidR="00FD1CF2" w:rsidRDefault="00FD1CF2" w:rsidP="00FD1CF2">
      <w:pPr>
        <w:rPr>
          <w:b/>
          <w:bCs/>
        </w:rPr>
      </w:pPr>
      <w:r>
        <w:rPr>
          <w:b/>
          <w:bCs/>
        </w:rPr>
        <w:t>F</w:t>
      </w:r>
      <w:r w:rsidRPr="00FE1DF4">
        <w:rPr>
          <w:b/>
          <w:bCs/>
        </w:rPr>
        <w:t xml:space="preserve">or Case 7 timing at </w:t>
      </w:r>
      <w:r>
        <w:rPr>
          <w:b/>
          <w:bCs/>
        </w:rPr>
        <w:t>an IAB-</w:t>
      </w:r>
      <w:r w:rsidRPr="00FE1DF4">
        <w:rPr>
          <w:b/>
          <w:bCs/>
        </w:rPr>
        <w:t>node</w:t>
      </w:r>
      <w:r>
        <w:rPr>
          <w:b/>
          <w:bCs/>
        </w:rPr>
        <w:t>:</w:t>
      </w:r>
    </w:p>
    <w:p w14:paraId="1E7377A7" w14:textId="77777777" w:rsidR="00FD1CF2" w:rsidRPr="00F834D4" w:rsidRDefault="00FD1CF2" w:rsidP="00FD1CF2">
      <w:pPr>
        <w:pStyle w:val="ListParagraph"/>
        <w:numPr>
          <w:ilvl w:val="0"/>
          <w:numId w:val="37"/>
        </w:numPr>
      </w:pPr>
      <w:r>
        <w:rPr>
          <w:b/>
        </w:rPr>
        <w:t>The offset with respect to Case 1 UL timing at a child-node is not expected to change dynamically, since it is associated with the propagation delay between the IAB-node and its parent node.</w:t>
      </w:r>
    </w:p>
    <w:p w14:paraId="4EC1F990" w14:textId="77777777" w:rsidR="00FD1CF2" w:rsidRPr="0064116B" w:rsidRDefault="00FD1CF2" w:rsidP="00FD1CF2">
      <w:pPr>
        <w:pStyle w:val="ListParagraph"/>
        <w:numPr>
          <w:ilvl w:val="0"/>
          <w:numId w:val="37"/>
        </w:numPr>
      </w:pPr>
      <w:r>
        <w:rPr>
          <w:b/>
        </w:rPr>
        <w:t>In case of switching between Case 1 and Case 7, maintaining two separate dynamic TA loops (as suggested in Alt3) is inefficient.</w:t>
      </w:r>
    </w:p>
    <w:p w14:paraId="028FF67D" w14:textId="77777777" w:rsidR="00FD1CF2" w:rsidRPr="002F71AA" w:rsidRDefault="00FD1CF2" w:rsidP="00FD1CF2">
      <w:pPr>
        <w:pStyle w:val="ListParagraph"/>
        <w:numPr>
          <w:ilvl w:val="0"/>
          <w:numId w:val="37"/>
        </w:numPr>
      </w:pPr>
      <w:r>
        <w:rPr>
          <w:b/>
        </w:rPr>
        <w:t>Alt1 without indication of the offset value reduces to Alt2.</w:t>
      </w:r>
    </w:p>
    <w:p w14:paraId="67EFBF79" w14:textId="77777777" w:rsidR="00FD1CF2" w:rsidRDefault="00FD1CF2" w:rsidP="00FD1CF2"/>
    <w:p w14:paraId="73916949" w14:textId="77777777" w:rsidR="00FD1CF2" w:rsidRPr="00D17B55" w:rsidRDefault="00FD1CF2" w:rsidP="00FD1CF2">
      <w:pPr>
        <w:jc w:val="both"/>
        <w:rPr>
          <w:b/>
          <w:bCs/>
        </w:rPr>
      </w:pPr>
      <w:r>
        <w:rPr>
          <w:b/>
          <w:bCs/>
          <w:u w:val="single"/>
        </w:rPr>
        <w:t>Proposal</w:t>
      </w:r>
      <w:r w:rsidRPr="00D17B55">
        <w:rPr>
          <w:b/>
          <w:bCs/>
          <w:u w:val="single"/>
        </w:rPr>
        <w:t xml:space="preserve"> </w:t>
      </w:r>
      <w:r>
        <w:rPr>
          <w:b/>
          <w:bCs/>
          <w:u w:val="single"/>
        </w:rPr>
        <w:t>2.1</w:t>
      </w:r>
      <w:r w:rsidRPr="00D17B55">
        <w:rPr>
          <w:b/>
          <w:bCs/>
          <w:u w:val="single"/>
        </w:rPr>
        <w:t>:</w:t>
      </w:r>
      <w:r w:rsidRPr="00D17B55">
        <w:rPr>
          <w:b/>
          <w:bCs/>
        </w:rPr>
        <w:t xml:space="preserve"> </w:t>
      </w:r>
    </w:p>
    <w:p w14:paraId="2C810EAE" w14:textId="77777777" w:rsidR="00FD1CF2" w:rsidRDefault="00FD1CF2" w:rsidP="00FD1CF2">
      <w:pPr>
        <w:rPr>
          <w:b/>
          <w:bCs/>
        </w:rPr>
      </w:pPr>
      <w:r>
        <w:rPr>
          <w:b/>
          <w:bCs/>
        </w:rPr>
        <w:t xml:space="preserve">Adopt Alt1 for Case 7 timing: </w:t>
      </w:r>
    </w:p>
    <w:p w14:paraId="6E1CF81C" w14:textId="77777777" w:rsidR="00FD1CF2" w:rsidRDefault="00FD1CF2" w:rsidP="00FD1CF2">
      <w:pPr>
        <w:pStyle w:val="ListParagraph"/>
        <w:numPr>
          <w:ilvl w:val="0"/>
          <w:numId w:val="37"/>
        </w:numPr>
        <w:rPr>
          <w:b/>
          <w:bCs/>
        </w:rPr>
      </w:pPr>
      <w:r>
        <w:rPr>
          <w:b/>
          <w:bCs/>
        </w:rPr>
        <w:t>T</w:t>
      </w:r>
      <w:r w:rsidRPr="00053E48">
        <w:rPr>
          <w:b/>
          <w:bCs/>
        </w:rPr>
        <w:t xml:space="preserve">he IAB-MT Tx timing of </w:t>
      </w:r>
      <w:r>
        <w:rPr>
          <w:b/>
          <w:bCs/>
        </w:rPr>
        <w:t>a</w:t>
      </w:r>
      <w:r w:rsidRPr="00053E48">
        <w:rPr>
          <w:b/>
          <w:bCs/>
        </w:rPr>
        <w:t xml:space="preserve"> node is obtained via the legacy TA loop plus an offset from the parent node</w:t>
      </w:r>
      <w:r>
        <w:rPr>
          <w:b/>
          <w:bCs/>
        </w:rPr>
        <w:t>.</w:t>
      </w:r>
    </w:p>
    <w:p w14:paraId="68672E46" w14:textId="77777777" w:rsidR="00FD1CF2" w:rsidRPr="00053E48" w:rsidRDefault="00FD1CF2" w:rsidP="00FD1CF2">
      <w:pPr>
        <w:pStyle w:val="ListParagraph"/>
        <w:numPr>
          <w:ilvl w:val="0"/>
          <w:numId w:val="37"/>
        </w:numPr>
        <w:rPr>
          <w:b/>
          <w:bCs/>
        </w:rPr>
      </w:pPr>
      <w:r>
        <w:rPr>
          <w:b/>
          <w:bCs/>
        </w:rPr>
        <w:t xml:space="preserve">Assume offset is equal to zero, if it is not indicated. </w:t>
      </w:r>
    </w:p>
    <w:p w14:paraId="5967270B" w14:textId="77777777" w:rsidR="00FD1CF2" w:rsidRDefault="00FD1CF2" w:rsidP="00FD1CF2">
      <w:pPr>
        <w:rPr>
          <w:b/>
          <w:bCs/>
        </w:rPr>
      </w:pPr>
    </w:p>
    <w:p w14:paraId="6551B540" w14:textId="77777777" w:rsidR="00FD1CF2" w:rsidRPr="00D17B55" w:rsidRDefault="00FD1CF2" w:rsidP="00FD1CF2">
      <w:pPr>
        <w:jc w:val="both"/>
        <w:rPr>
          <w:b/>
          <w:bCs/>
        </w:rPr>
      </w:pPr>
      <w:r>
        <w:rPr>
          <w:b/>
          <w:bCs/>
          <w:u w:val="single"/>
        </w:rPr>
        <w:t>Proposal</w:t>
      </w:r>
      <w:r w:rsidRPr="00D17B55">
        <w:rPr>
          <w:b/>
          <w:bCs/>
          <w:u w:val="single"/>
        </w:rPr>
        <w:t xml:space="preserve"> </w:t>
      </w:r>
      <w:r>
        <w:rPr>
          <w:b/>
          <w:bCs/>
          <w:u w:val="single"/>
        </w:rPr>
        <w:t>2.2</w:t>
      </w:r>
      <w:r w:rsidRPr="00D17B55">
        <w:rPr>
          <w:b/>
          <w:bCs/>
          <w:u w:val="single"/>
        </w:rPr>
        <w:t>:</w:t>
      </w:r>
      <w:r w:rsidRPr="00D17B55">
        <w:rPr>
          <w:b/>
          <w:bCs/>
        </w:rPr>
        <w:t xml:space="preserve"> </w:t>
      </w:r>
    </w:p>
    <w:p w14:paraId="0AA33371" w14:textId="77777777" w:rsidR="00FD1CF2" w:rsidRDefault="00FD1CF2" w:rsidP="00FD1CF2">
      <w:pPr>
        <w:rPr>
          <w:b/>
          <w:bCs/>
        </w:rPr>
      </w:pPr>
      <w:r>
        <w:rPr>
          <w:b/>
          <w:bCs/>
        </w:rPr>
        <w:t xml:space="preserve">Adopt Alt2 for Case 6 timing: </w:t>
      </w:r>
    </w:p>
    <w:p w14:paraId="31F92BB3" w14:textId="77777777" w:rsidR="00FD1CF2" w:rsidRPr="00063734" w:rsidRDefault="00FD1CF2" w:rsidP="00FD1CF2">
      <w:pPr>
        <w:pStyle w:val="ListParagraph"/>
        <w:numPr>
          <w:ilvl w:val="0"/>
          <w:numId w:val="37"/>
        </w:numPr>
      </w:pPr>
      <w:r>
        <w:rPr>
          <w:b/>
          <w:bCs/>
        </w:rPr>
        <w:t>T</w:t>
      </w:r>
      <w:r w:rsidRPr="00A14DBF">
        <w:rPr>
          <w:b/>
          <w:bCs/>
        </w:rPr>
        <w:t>he IAB-MT Tx timing is set by the node to the timing obtained for the node’s DL Tx</w:t>
      </w:r>
      <w:r>
        <w:rPr>
          <w:b/>
          <w:bCs/>
        </w:rPr>
        <w:t>.</w:t>
      </w:r>
    </w:p>
    <w:p w14:paraId="3F0E4DF7" w14:textId="77777777" w:rsidR="00FD1CF2" w:rsidRDefault="00FD1CF2" w:rsidP="00FD1CF2">
      <w:pPr>
        <w:rPr>
          <w:b/>
          <w:bCs/>
        </w:rPr>
      </w:pPr>
    </w:p>
    <w:p w14:paraId="22D1D1B4" w14:textId="77777777" w:rsidR="00FD1CF2" w:rsidRPr="00D17B55" w:rsidRDefault="00FD1CF2" w:rsidP="00FD1CF2">
      <w:pPr>
        <w:jc w:val="both"/>
        <w:rPr>
          <w:b/>
          <w:bCs/>
        </w:rPr>
      </w:pPr>
      <w:r>
        <w:rPr>
          <w:b/>
          <w:bCs/>
          <w:u w:val="single"/>
        </w:rPr>
        <w:t>Observation</w:t>
      </w:r>
      <w:r w:rsidRPr="00D17B55">
        <w:rPr>
          <w:b/>
          <w:bCs/>
          <w:u w:val="single"/>
        </w:rPr>
        <w:t xml:space="preserve"> </w:t>
      </w:r>
      <w:r>
        <w:rPr>
          <w:b/>
          <w:bCs/>
          <w:u w:val="single"/>
        </w:rPr>
        <w:t>2.2</w:t>
      </w:r>
      <w:r w:rsidRPr="00D17B55">
        <w:rPr>
          <w:b/>
          <w:bCs/>
          <w:u w:val="single"/>
        </w:rPr>
        <w:t>:</w:t>
      </w:r>
      <w:r w:rsidRPr="00D17B55">
        <w:rPr>
          <w:b/>
          <w:bCs/>
        </w:rPr>
        <w:t xml:space="preserve"> </w:t>
      </w:r>
    </w:p>
    <w:p w14:paraId="6666991D" w14:textId="77777777" w:rsidR="00FD1CF2" w:rsidRDefault="00FD1CF2" w:rsidP="00FD1CF2">
      <w:pPr>
        <w:rPr>
          <w:b/>
          <w:bCs/>
        </w:rPr>
      </w:pPr>
      <w:r>
        <w:rPr>
          <w:b/>
          <w:bCs/>
        </w:rPr>
        <w:t xml:space="preserve">If Case 6 is authorized to be used by an IAB-node, the parent node can still configure the IAB-node to use Case 1 timing on a sufficiently frequent set of resources. This will allow the parent node to track IAB-node’s UL TX timing, and its RTT estimation and provide an updated [legacy] TA command as needed. </w:t>
      </w:r>
    </w:p>
    <w:p w14:paraId="090CEC9E" w14:textId="77777777" w:rsidR="00FD1CF2" w:rsidRDefault="00FD1CF2" w:rsidP="00FD1CF2"/>
    <w:p w14:paraId="4FDE1F45" w14:textId="77777777" w:rsidR="00FD1CF2" w:rsidRPr="00D17B55" w:rsidRDefault="00FD1CF2" w:rsidP="00FD1CF2">
      <w:pPr>
        <w:jc w:val="both"/>
        <w:rPr>
          <w:b/>
          <w:bCs/>
        </w:rPr>
      </w:pPr>
      <w:r>
        <w:rPr>
          <w:b/>
          <w:bCs/>
          <w:u w:val="single"/>
        </w:rPr>
        <w:t>Proposal</w:t>
      </w:r>
      <w:r w:rsidRPr="00D17B55">
        <w:rPr>
          <w:b/>
          <w:bCs/>
          <w:u w:val="single"/>
        </w:rPr>
        <w:t xml:space="preserve"> </w:t>
      </w:r>
      <w:r>
        <w:rPr>
          <w:b/>
          <w:bCs/>
          <w:u w:val="single"/>
        </w:rPr>
        <w:t>2.3</w:t>
      </w:r>
      <w:r w:rsidRPr="00D17B55">
        <w:rPr>
          <w:b/>
          <w:bCs/>
          <w:u w:val="single"/>
        </w:rPr>
        <w:t>:</w:t>
      </w:r>
      <w:r w:rsidRPr="00D17B55">
        <w:rPr>
          <w:b/>
          <w:bCs/>
        </w:rPr>
        <w:t xml:space="preserve"> </w:t>
      </w:r>
    </w:p>
    <w:p w14:paraId="17628AE9" w14:textId="77777777" w:rsidR="00FD1CF2" w:rsidRDefault="00FD1CF2" w:rsidP="00FD1CF2">
      <w:pPr>
        <w:rPr>
          <w:b/>
        </w:rPr>
      </w:pPr>
      <w:r w:rsidRPr="00C13FEE">
        <w:rPr>
          <w:b/>
        </w:rPr>
        <w:t xml:space="preserve">An IAB-node is indicated </w:t>
      </w:r>
      <w:r>
        <w:rPr>
          <w:b/>
        </w:rPr>
        <w:t xml:space="preserve">the resources associated with each timing case (Case1, 6 and 7). </w:t>
      </w:r>
    </w:p>
    <w:p w14:paraId="3A77D540" w14:textId="77777777" w:rsidR="00FD1CF2" w:rsidRPr="00291FC5" w:rsidRDefault="00FD1CF2" w:rsidP="00FD1CF2">
      <w:pPr>
        <w:pStyle w:val="ListParagraph"/>
        <w:numPr>
          <w:ilvl w:val="0"/>
          <w:numId w:val="37"/>
        </w:numPr>
        <w:rPr>
          <w:b/>
        </w:rPr>
      </w:pPr>
      <w:r w:rsidRPr="00291FC5">
        <w:rPr>
          <w:b/>
        </w:rPr>
        <w:t xml:space="preserve">The indication is semi-static. </w:t>
      </w:r>
    </w:p>
    <w:p w14:paraId="223CD277" w14:textId="6A2694B7" w:rsidR="00FD1CF2" w:rsidRDefault="00FD1CF2" w:rsidP="00FD1CF2">
      <w:pPr>
        <w:rPr>
          <w:b/>
          <w:bCs/>
        </w:rPr>
      </w:pPr>
    </w:p>
    <w:p w14:paraId="652430AE" w14:textId="386C7B3F" w:rsidR="005235F9" w:rsidRDefault="005235F9" w:rsidP="00FD1CF2">
      <w:pPr>
        <w:rPr>
          <w:b/>
          <w:bCs/>
        </w:rPr>
      </w:pPr>
    </w:p>
    <w:p w14:paraId="34C0F947" w14:textId="6A27E704" w:rsidR="005235F9" w:rsidRDefault="005235F9" w:rsidP="00FD1CF2">
      <w:pPr>
        <w:rPr>
          <w:b/>
          <w:bCs/>
        </w:rPr>
      </w:pPr>
    </w:p>
    <w:p w14:paraId="17D67692" w14:textId="77777777" w:rsidR="005235F9" w:rsidRDefault="005235F9" w:rsidP="00FD1CF2">
      <w:pPr>
        <w:rPr>
          <w:b/>
          <w:bCs/>
        </w:rPr>
      </w:pPr>
    </w:p>
    <w:p w14:paraId="1262ED62" w14:textId="77777777" w:rsidR="00FD1CF2" w:rsidRPr="00C073D1" w:rsidRDefault="00FD1CF2" w:rsidP="00FD1CF2">
      <w:pPr>
        <w:rPr>
          <w:i/>
          <w:iCs/>
          <w:u w:val="single"/>
        </w:rPr>
      </w:pPr>
      <w:r w:rsidRPr="00C073D1">
        <w:rPr>
          <w:i/>
          <w:iCs/>
          <w:u w:val="single"/>
        </w:rPr>
        <w:lastRenderedPageBreak/>
        <w:t>For the enhancements to the interference management:</w:t>
      </w:r>
    </w:p>
    <w:p w14:paraId="78398D62" w14:textId="77777777" w:rsidR="00FD1CF2" w:rsidRPr="00D17B55" w:rsidRDefault="00FD1CF2" w:rsidP="00FD1CF2">
      <w:pPr>
        <w:jc w:val="both"/>
        <w:rPr>
          <w:b/>
          <w:bCs/>
        </w:rPr>
      </w:pPr>
      <w:r w:rsidRPr="00D17B55">
        <w:rPr>
          <w:b/>
          <w:bCs/>
          <w:u w:val="single"/>
        </w:rPr>
        <w:t>Observation 3.</w:t>
      </w:r>
      <w:r>
        <w:rPr>
          <w:b/>
          <w:bCs/>
          <w:u w:val="single"/>
        </w:rPr>
        <w:t>1</w:t>
      </w:r>
      <w:r w:rsidRPr="00D17B55">
        <w:rPr>
          <w:b/>
          <w:bCs/>
          <w:u w:val="single"/>
        </w:rPr>
        <w:t>:</w:t>
      </w:r>
      <w:r w:rsidRPr="00D17B55">
        <w:rPr>
          <w:b/>
          <w:bCs/>
        </w:rPr>
        <w:t xml:space="preserve"> </w:t>
      </w:r>
    </w:p>
    <w:p w14:paraId="52F1DF10" w14:textId="77777777" w:rsidR="00FD1CF2" w:rsidRDefault="00FD1CF2" w:rsidP="00FD1CF2">
      <w:pPr>
        <w:jc w:val="both"/>
        <w:rPr>
          <w:b/>
          <w:bCs/>
        </w:rPr>
      </w:pPr>
      <w:r>
        <w:rPr>
          <w:b/>
          <w:bCs/>
        </w:rPr>
        <w:t>Strict network planning is not always feasible or efficient to avoid inter-DU interference in IAB.</w:t>
      </w:r>
    </w:p>
    <w:p w14:paraId="24074966" w14:textId="77777777" w:rsidR="00FD1CF2" w:rsidRDefault="00FD1CF2" w:rsidP="00FD1CF2">
      <w:pPr>
        <w:jc w:val="both"/>
        <w:rPr>
          <w:b/>
          <w:bCs/>
        </w:rPr>
      </w:pPr>
      <w:r w:rsidRPr="00D17B55">
        <w:rPr>
          <w:b/>
          <w:bCs/>
        </w:rPr>
        <w:t>A standardized DU-to-DU CLI management is needed for inter-operability and</w:t>
      </w:r>
      <w:r>
        <w:rPr>
          <w:b/>
          <w:bCs/>
        </w:rPr>
        <w:t xml:space="preserve">, </w:t>
      </w:r>
      <w:r w:rsidRPr="00D17B55">
        <w:rPr>
          <w:b/>
          <w:bCs/>
        </w:rPr>
        <w:t>especially in IAB</w:t>
      </w:r>
      <w:r>
        <w:rPr>
          <w:b/>
          <w:bCs/>
        </w:rPr>
        <w:t xml:space="preserve"> networks</w:t>
      </w:r>
      <w:r w:rsidRPr="00D17B55">
        <w:rPr>
          <w:b/>
          <w:bCs/>
        </w:rPr>
        <w:t>, for a CU to determine proper resource configurations for its IAB-DUs.</w:t>
      </w:r>
    </w:p>
    <w:p w14:paraId="469786B3" w14:textId="77777777" w:rsidR="00FD1CF2" w:rsidRDefault="00FD1CF2" w:rsidP="00FD1CF2">
      <w:pPr>
        <w:jc w:val="both"/>
      </w:pPr>
    </w:p>
    <w:p w14:paraId="3E176728" w14:textId="77777777" w:rsidR="00FD1CF2" w:rsidRPr="00D17B55" w:rsidRDefault="00FD1CF2" w:rsidP="00FD1CF2">
      <w:pPr>
        <w:jc w:val="both"/>
        <w:rPr>
          <w:b/>
          <w:bCs/>
        </w:rPr>
      </w:pPr>
      <w:r w:rsidRPr="00D17B55">
        <w:rPr>
          <w:b/>
          <w:bCs/>
          <w:u w:val="single"/>
        </w:rPr>
        <w:t>Observation 3.</w:t>
      </w:r>
      <w:r>
        <w:rPr>
          <w:b/>
          <w:bCs/>
          <w:u w:val="single"/>
        </w:rPr>
        <w:t>2</w:t>
      </w:r>
      <w:r w:rsidRPr="00D17B55">
        <w:rPr>
          <w:b/>
          <w:bCs/>
          <w:u w:val="single"/>
        </w:rPr>
        <w:t>:</w:t>
      </w:r>
      <w:r w:rsidRPr="00D17B55">
        <w:rPr>
          <w:b/>
          <w:bCs/>
        </w:rPr>
        <w:t xml:space="preserve"> </w:t>
      </w:r>
    </w:p>
    <w:p w14:paraId="22DD331D" w14:textId="77777777" w:rsidR="00FD1CF2" w:rsidRDefault="00FD1CF2" w:rsidP="00FD1CF2">
      <w:pPr>
        <w:jc w:val="both"/>
        <w:rPr>
          <w:b/>
          <w:bCs/>
        </w:rPr>
      </w:pPr>
      <w:r w:rsidRPr="00D17B55">
        <w:rPr>
          <w:b/>
          <w:bCs/>
        </w:rPr>
        <w:t>An IAB-DU can autonomously measure CLI from neighbouring DU cells, based on the available information at the IAB-MT (e.g.</w:t>
      </w:r>
      <w:r>
        <w:rPr>
          <w:b/>
          <w:bCs/>
        </w:rPr>
        <w:t>,</w:t>
      </w:r>
      <w:r w:rsidRPr="00D17B55">
        <w:rPr>
          <w:b/>
          <w:bCs/>
        </w:rPr>
        <w:t xml:space="preserve"> </w:t>
      </w:r>
      <w:r>
        <w:rPr>
          <w:b/>
          <w:bCs/>
        </w:rPr>
        <w:t xml:space="preserve">via </w:t>
      </w:r>
      <w:r w:rsidRPr="00D17B55">
        <w:rPr>
          <w:b/>
          <w:bCs/>
        </w:rPr>
        <w:t>SMTC</w:t>
      </w:r>
      <w:r>
        <w:rPr>
          <w:b/>
          <w:bCs/>
        </w:rPr>
        <w:t>, or neighbour cell search</w:t>
      </w:r>
      <w:r w:rsidRPr="00D17B55">
        <w:rPr>
          <w:b/>
          <w:bCs/>
        </w:rPr>
        <w:t>).</w:t>
      </w:r>
    </w:p>
    <w:p w14:paraId="1AFEA140" w14:textId="77777777" w:rsidR="00FD1CF2" w:rsidRDefault="00FD1CF2" w:rsidP="00FD1CF2">
      <w:pPr>
        <w:rPr>
          <w:b/>
          <w:bCs/>
        </w:rPr>
      </w:pPr>
    </w:p>
    <w:p w14:paraId="357CD331" w14:textId="77777777" w:rsidR="00FD1CF2" w:rsidRPr="00D17B55" w:rsidRDefault="00FD1CF2" w:rsidP="00FD1CF2">
      <w:pPr>
        <w:jc w:val="both"/>
        <w:rPr>
          <w:b/>
          <w:bCs/>
          <w:u w:val="single"/>
        </w:rPr>
      </w:pPr>
      <w:r w:rsidRPr="00D17B55">
        <w:rPr>
          <w:b/>
          <w:bCs/>
          <w:u w:val="single"/>
        </w:rPr>
        <w:t>Proposal 3.</w:t>
      </w:r>
      <w:r>
        <w:rPr>
          <w:b/>
          <w:bCs/>
          <w:u w:val="single"/>
        </w:rPr>
        <w:t>1</w:t>
      </w:r>
      <w:r w:rsidRPr="00D17B55">
        <w:rPr>
          <w:b/>
          <w:bCs/>
          <w:u w:val="single"/>
        </w:rPr>
        <w:t>:</w:t>
      </w:r>
    </w:p>
    <w:p w14:paraId="10BEC875" w14:textId="77777777" w:rsidR="00FD1CF2" w:rsidRDefault="00FD1CF2" w:rsidP="00FD1CF2">
      <w:pPr>
        <w:jc w:val="both"/>
        <w:rPr>
          <w:b/>
          <w:bCs/>
        </w:rPr>
      </w:pPr>
      <w:r>
        <w:rPr>
          <w:b/>
          <w:bCs/>
        </w:rPr>
        <w:t>For DU-to-DU CLI measurements:</w:t>
      </w:r>
    </w:p>
    <w:p w14:paraId="021CF930" w14:textId="77777777" w:rsidR="00FD1CF2" w:rsidRDefault="00FD1CF2" w:rsidP="00FD1CF2">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No specific mechanism is specified.</w:t>
      </w:r>
    </w:p>
    <w:p w14:paraId="2C906142" w14:textId="77777777" w:rsidR="00FD1CF2" w:rsidRDefault="00FD1CF2" w:rsidP="00FD1CF2">
      <w:pPr>
        <w:jc w:val="both"/>
        <w:rPr>
          <w:b/>
          <w:bCs/>
        </w:rPr>
      </w:pPr>
      <w:r>
        <w:rPr>
          <w:b/>
          <w:bCs/>
        </w:rPr>
        <w:t>For DU-to-DU CLI report:</w:t>
      </w:r>
    </w:p>
    <w:p w14:paraId="39EFEB02" w14:textId="77777777" w:rsidR="00FD1CF2" w:rsidRDefault="00FD1CF2" w:rsidP="00FD1CF2">
      <w:pPr>
        <w:pStyle w:val="ListParagraph"/>
        <w:numPr>
          <w:ilvl w:val="0"/>
          <w:numId w:val="8"/>
        </w:numPr>
        <w:tabs>
          <w:tab w:val="clear" w:pos="720"/>
          <w:tab w:val="num" w:pos="360"/>
        </w:tabs>
        <w:overflowPunct/>
        <w:autoSpaceDE/>
        <w:autoSpaceDN/>
        <w:adjustRightInd/>
        <w:spacing w:after="160" w:line="259" w:lineRule="auto"/>
        <w:ind w:left="360"/>
        <w:jc w:val="both"/>
        <w:textAlignment w:val="auto"/>
        <w:rPr>
          <w:b/>
          <w:bCs/>
        </w:rPr>
      </w:pPr>
      <w:r>
        <w:rPr>
          <w:b/>
          <w:bCs/>
        </w:rPr>
        <w:t>Support enhanced legacy DU-based report, as follows</w:t>
      </w:r>
    </w:p>
    <w:p w14:paraId="441787E3" w14:textId="77777777" w:rsidR="00FD1CF2" w:rsidRPr="005E18C8"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A</w:t>
      </w:r>
      <w:r w:rsidRPr="005E18C8">
        <w:rPr>
          <w:b/>
          <w:bCs/>
        </w:rPr>
        <w:t xml:space="preserve"> victim IAB-DU </w:t>
      </w:r>
      <w:r>
        <w:rPr>
          <w:b/>
          <w:bCs/>
        </w:rPr>
        <w:t xml:space="preserve">can </w:t>
      </w:r>
      <w:r w:rsidRPr="005E18C8">
        <w:rPr>
          <w:b/>
          <w:bCs/>
        </w:rPr>
        <w:t>report the result of its interference measurements to the CU. The report should comprise</w:t>
      </w:r>
    </w:p>
    <w:p w14:paraId="55C4F956"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neighbouring aggressor DU cells</w:t>
      </w:r>
    </w:p>
    <w:p w14:paraId="009E4B56"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A list of victim cells of the IAB-DU</w:t>
      </w:r>
    </w:p>
    <w:p w14:paraId="53BCD5B8" w14:textId="77777777" w:rsidR="00FD1CF2" w:rsidRPr="005E18C8" w:rsidRDefault="00FD1CF2" w:rsidP="00FD1CF2">
      <w:pPr>
        <w:pStyle w:val="ListParagraph"/>
        <w:numPr>
          <w:ilvl w:val="2"/>
          <w:numId w:val="8"/>
        </w:numPr>
        <w:tabs>
          <w:tab w:val="clear" w:pos="2160"/>
          <w:tab w:val="num" w:pos="1800"/>
        </w:tabs>
        <w:overflowPunct/>
        <w:autoSpaceDE/>
        <w:autoSpaceDN/>
        <w:adjustRightInd/>
        <w:spacing w:after="160" w:line="259" w:lineRule="auto"/>
        <w:ind w:left="1800"/>
        <w:jc w:val="both"/>
        <w:textAlignment w:val="auto"/>
        <w:rPr>
          <w:b/>
          <w:bCs/>
        </w:rPr>
      </w:pPr>
      <w:r w:rsidRPr="005E18C8">
        <w:rPr>
          <w:b/>
          <w:bCs/>
        </w:rPr>
        <w:t xml:space="preserve">Spatial (beam-related) information – e.g., index of SSBs. </w:t>
      </w:r>
    </w:p>
    <w:p w14:paraId="0E5FC585" w14:textId="77777777" w:rsidR="00FD1CF2" w:rsidRPr="005E18C8" w:rsidRDefault="00FD1CF2" w:rsidP="00FD1CF2">
      <w:pPr>
        <w:pStyle w:val="ListParagraph"/>
        <w:numPr>
          <w:ilvl w:val="1"/>
          <w:numId w:val="8"/>
        </w:numPr>
        <w:tabs>
          <w:tab w:val="clear" w:pos="1440"/>
          <w:tab w:val="num" w:pos="1080"/>
        </w:tabs>
        <w:overflowPunct/>
        <w:autoSpaceDE/>
        <w:autoSpaceDN/>
        <w:adjustRightInd/>
        <w:spacing w:after="160" w:line="259" w:lineRule="auto"/>
        <w:ind w:left="1080"/>
        <w:jc w:val="both"/>
        <w:textAlignment w:val="auto"/>
        <w:rPr>
          <w:b/>
          <w:bCs/>
        </w:rPr>
      </w:pPr>
      <w:r>
        <w:rPr>
          <w:b/>
          <w:bCs/>
        </w:rPr>
        <w:t>Support inter-CU coordination via exchange of DU reports on Xn interface.</w:t>
      </w:r>
    </w:p>
    <w:p w14:paraId="0B293DCF" w14:textId="77777777" w:rsidR="00FD1CF2" w:rsidRPr="00D17B55" w:rsidRDefault="00FD1CF2" w:rsidP="005358D4">
      <w:pPr>
        <w:contextualSpacing/>
      </w:pPr>
      <w:r w:rsidRPr="00D17B55">
        <w:rPr>
          <w:b/>
          <w:bCs/>
        </w:rPr>
        <w:t>Note: this address</w:t>
      </w:r>
      <w:r>
        <w:rPr>
          <w:b/>
          <w:bCs/>
        </w:rPr>
        <w:t>es</w:t>
      </w:r>
      <w:r w:rsidRPr="00D17B55">
        <w:rPr>
          <w:b/>
          <w:bCs/>
        </w:rPr>
        <w:t xml:space="preserve"> </w:t>
      </w:r>
      <w:r>
        <w:rPr>
          <w:b/>
          <w:bCs/>
        </w:rPr>
        <w:t xml:space="preserve">interference scenarios between </w:t>
      </w:r>
      <w:r w:rsidRPr="00D17B55">
        <w:rPr>
          <w:b/>
          <w:bCs/>
        </w:rPr>
        <w:t>IAB-DU</w:t>
      </w:r>
      <w:r>
        <w:rPr>
          <w:b/>
          <w:bCs/>
        </w:rPr>
        <w:t xml:space="preserve">s, as well as between </w:t>
      </w:r>
      <w:r w:rsidRPr="00D17B55">
        <w:rPr>
          <w:b/>
          <w:bCs/>
        </w:rPr>
        <w:t>IAB-DU</w:t>
      </w:r>
      <w:r>
        <w:rPr>
          <w:b/>
          <w:bCs/>
        </w:rPr>
        <w:t>s</w:t>
      </w:r>
      <w:r w:rsidRPr="00D17B55">
        <w:rPr>
          <w:b/>
          <w:bCs/>
        </w:rPr>
        <w:t xml:space="preserve"> </w:t>
      </w:r>
      <w:r>
        <w:rPr>
          <w:b/>
          <w:bCs/>
        </w:rPr>
        <w:t>and</w:t>
      </w:r>
      <w:r w:rsidRPr="00D17B55">
        <w:rPr>
          <w:b/>
          <w:bCs/>
        </w:rPr>
        <w:t xml:space="preserve"> non-IAB-DU</w:t>
      </w:r>
      <w:r>
        <w:rPr>
          <w:b/>
          <w:bCs/>
        </w:rPr>
        <w:t>s.</w:t>
      </w:r>
      <w:r w:rsidRPr="00D17B55">
        <w:rPr>
          <w:b/>
          <w:bCs/>
        </w:rPr>
        <w:t xml:space="preserve"> </w:t>
      </w:r>
    </w:p>
    <w:p w14:paraId="4834F468" w14:textId="77777777" w:rsidR="00FD1CF2" w:rsidRPr="00D17B55" w:rsidRDefault="00FD1CF2" w:rsidP="00FD1CF2">
      <w:pPr>
        <w:rPr>
          <w:b/>
          <w:bCs/>
        </w:rPr>
      </w:pPr>
    </w:p>
    <w:p w14:paraId="32911B30" w14:textId="77777777" w:rsidR="00FD1CF2" w:rsidRPr="00D17B55" w:rsidRDefault="00FD1CF2" w:rsidP="00FD1CF2">
      <w:pPr>
        <w:jc w:val="both"/>
        <w:rPr>
          <w:b/>
          <w:bCs/>
        </w:rPr>
      </w:pPr>
      <w:r w:rsidRPr="00D17B55">
        <w:rPr>
          <w:b/>
          <w:bCs/>
          <w:u w:val="single"/>
        </w:rPr>
        <w:t>Observation 3.</w:t>
      </w:r>
      <w:r>
        <w:rPr>
          <w:b/>
          <w:bCs/>
          <w:u w:val="single"/>
        </w:rPr>
        <w:t>3</w:t>
      </w:r>
      <w:r w:rsidRPr="00D17B55">
        <w:rPr>
          <w:b/>
          <w:bCs/>
          <w:u w:val="single"/>
        </w:rPr>
        <w:t>:</w:t>
      </w:r>
      <w:r w:rsidRPr="00D17B55">
        <w:rPr>
          <w:b/>
          <w:bCs/>
        </w:rPr>
        <w:t xml:space="preserve"> </w:t>
      </w:r>
    </w:p>
    <w:p w14:paraId="03CCDF60" w14:textId="77777777" w:rsidR="00FD1CF2" w:rsidRDefault="00FD1CF2" w:rsidP="00FD1CF2">
      <w:pPr>
        <w:jc w:val="both"/>
        <w:rPr>
          <w:b/>
          <w:bCs/>
        </w:rPr>
      </w:pPr>
      <w:r w:rsidRPr="00D17B55">
        <w:rPr>
          <w:b/>
          <w:bCs/>
        </w:rPr>
        <w:t xml:space="preserve">A DU may or may not be capable of supporting </w:t>
      </w:r>
      <w:r>
        <w:rPr>
          <w:b/>
          <w:bCs/>
        </w:rPr>
        <w:t>misaligned</w:t>
      </w:r>
      <w:r w:rsidRPr="00D17B55">
        <w:rPr>
          <w:b/>
          <w:bCs/>
        </w:rPr>
        <w:t xml:space="preserve"> TDD </w:t>
      </w:r>
      <w:r>
        <w:rPr>
          <w:b/>
          <w:bCs/>
        </w:rPr>
        <w:t xml:space="preserve">patterns </w:t>
      </w:r>
      <w:r w:rsidRPr="00D17B55">
        <w:rPr>
          <w:b/>
          <w:bCs/>
        </w:rPr>
        <w:t>across its served cells – e.g. (DU cell m TX, DU cell n RX).</w:t>
      </w:r>
    </w:p>
    <w:p w14:paraId="65A21EAB" w14:textId="77777777" w:rsidR="00FD1CF2" w:rsidRPr="00D17B55" w:rsidRDefault="00FD1CF2" w:rsidP="00FD1CF2">
      <w:pPr>
        <w:jc w:val="both"/>
        <w:rPr>
          <w:b/>
          <w:bCs/>
        </w:rPr>
      </w:pPr>
    </w:p>
    <w:p w14:paraId="177F7A30" w14:textId="77777777" w:rsidR="00FD1CF2" w:rsidRPr="00D17B55" w:rsidRDefault="00FD1CF2" w:rsidP="00FD1CF2">
      <w:pPr>
        <w:jc w:val="both"/>
        <w:rPr>
          <w:b/>
          <w:bCs/>
        </w:rPr>
      </w:pPr>
      <w:r w:rsidRPr="00D17B55">
        <w:rPr>
          <w:b/>
          <w:bCs/>
          <w:u w:val="single"/>
        </w:rPr>
        <w:t>Proposal 3.</w:t>
      </w:r>
      <w:r>
        <w:rPr>
          <w:b/>
          <w:bCs/>
          <w:u w:val="single"/>
        </w:rPr>
        <w:t>2:</w:t>
      </w:r>
      <w:r w:rsidRPr="00D17B55">
        <w:rPr>
          <w:b/>
          <w:bCs/>
        </w:rPr>
        <w:t xml:space="preserve"> </w:t>
      </w:r>
    </w:p>
    <w:p w14:paraId="107F44C7" w14:textId="77777777" w:rsidR="00FD1CF2" w:rsidRPr="00D17B55" w:rsidRDefault="00FD1CF2" w:rsidP="00FD1CF2">
      <w:pPr>
        <w:jc w:val="both"/>
        <w:rPr>
          <w:b/>
          <w:bCs/>
        </w:rPr>
      </w:pPr>
      <w:r w:rsidRPr="00D17B55">
        <w:rPr>
          <w:b/>
          <w:bCs/>
        </w:rPr>
        <w:t>Support IAB-DU reporting multiplexing capability across its served cells (DU cell m TX, DU cell n RX).</w:t>
      </w:r>
    </w:p>
    <w:p w14:paraId="7D7E48C0" w14:textId="77777777" w:rsidR="00FD1CF2" w:rsidRDefault="00FD1CF2" w:rsidP="00FD1CF2">
      <w:pPr>
        <w:rPr>
          <w:b/>
          <w:bCs/>
          <w:u w:val="single"/>
        </w:rPr>
      </w:pPr>
    </w:p>
    <w:p w14:paraId="70B9F25F" w14:textId="77777777" w:rsidR="00FD1CF2" w:rsidRPr="00D17B55" w:rsidRDefault="00FD1CF2" w:rsidP="00FD1CF2">
      <w:pPr>
        <w:jc w:val="both"/>
        <w:rPr>
          <w:b/>
          <w:bCs/>
        </w:rPr>
      </w:pPr>
      <w:r>
        <w:rPr>
          <w:b/>
          <w:bCs/>
          <w:u w:val="single"/>
        </w:rPr>
        <w:t>Observation</w:t>
      </w:r>
      <w:r w:rsidRPr="00D17B55">
        <w:rPr>
          <w:b/>
          <w:bCs/>
          <w:u w:val="single"/>
        </w:rPr>
        <w:t xml:space="preserve"> 3.</w:t>
      </w:r>
      <w:r>
        <w:rPr>
          <w:b/>
          <w:bCs/>
          <w:u w:val="single"/>
        </w:rPr>
        <w:t>4</w:t>
      </w:r>
      <w:r w:rsidRPr="00D17B55">
        <w:rPr>
          <w:b/>
          <w:bCs/>
          <w:u w:val="single"/>
        </w:rPr>
        <w:t>:</w:t>
      </w:r>
      <w:r w:rsidRPr="00D17B55">
        <w:rPr>
          <w:b/>
          <w:bCs/>
        </w:rPr>
        <w:t xml:space="preserve"> </w:t>
      </w:r>
    </w:p>
    <w:p w14:paraId="289413D5" w14:textId="77777777" w:rsidR="00FD1CF2" w:rsidRDefault="00FD1CF2" w:rsidP="00FD1CF2">
      <w:pPr>
        <w:jc w:val="both"/>
        <w:rPr>
          <w:b/>
          <w:bCs/>
        </w:rPr>
      </w:pPr>
      <w:r>
        <w:rPr>
          <w:b/>
          <w:bCs/>
        </w:rPr>
        <w:t xml:space="preserve">CU may not be able to efficiently handle the CLI impact on an IAB-MT, due at least to (a) lack of required coordination across CUs, and (b) lack of support for child-specific IAB resource management. </w:t>
      </w:r>
    </w:p>
    <w:p w14:paraId="53C9ACD1" w14:textId="77777777" w:rsidR="00FD1CF2" w:rsidRPr="00D17B55" w:rsidRDefault="00FD1CF2" w:rsidP="00FD1CF2">
      <w:pPr>
        <w:jc w:val="both"/>
        <w:rPr>
          <w:b/>
          <w:bCs/>
        </w:rPr>
      </w:pPr>
      <w:r>
        <w:rPr>
          <w:b/>
          <w:bCs/>
        </w:rPr>
        <w:t>A parent-node, with the knowledge of intended TDD DL-UL configuration of a neighbouring DU cell and a list of its child-nodes that are subject to strong CLI from this neighbouring cell, can efficiently avoid CLI impact by properly scheduling the child-nodes.</w:t>
      </w:r>
    </w:p>
    <w:p w14:paraId="7AF7B0FA" w14:textId="77777777" w:rsidR="00FD1CF2" w:rsidRDefault="00FD1CF2" w:rsidP="00FD1CF2">
      <w:pPr>
        <w:jc w:val="both"/>
        <w:rPr>
          <w:b/>
          <w:bCs/>
          <w:u w:val="single"/>
        </w:rPr>
      </w:pPr>
    </w:p>
    <w:p w14:paraId="0B4D6BF9" w14:textId="77777777" w:rsidR="00FD1CF2" w:rsidRPr="00D17B55" w:rsidRDefault="00FD1CF2" w:rsidP="00FD1CF2">
      <w:pPr>
        <w:jc w:val="both"/>
        <w:rPr>
          <w:b/>
          <w:bCs/>
        </w:rPr>
      </w:pPr>
      <w:r w:rsidRPr="00D17B55">
        <w:rPr>
          <w:b/>
          <w:bCs/>
          <w:u w:val="single"/>
        </w:rPr>
        <w:t>Proposal 3.</w:t>
      </w:r>
      <w:r>
        <w:rPr>
          <w:b/>
          <w:bCs/>
          <w:u w:val="single"/>
        </w:rPr>
        <w:t>3</w:t>
      </w:r>
      <w:r w:rsidRPr="00D17B55">
        <w:rPr>
          <w:b/>
          <w:bCs/>
          <w:u w:val="single"/>
        </w:rPr>
        <w:t>:</w:t>
      </w:r>
      <w:r w:rsidRPr="00D17B55">
        <w:rPr>
          <w:b/>
          <w:bCs/>
        </w:rPr>
        <w:t xml:space="preserve"> </w:t>
      </w:r>
    </w:p>
    <w:p w14:paraId="3433DA64" w14:textId="77777777" w:rsidR="00FD1CF2" w:rsidRPr="00A47287" w:rsidRDefault="00FD1CF2" w:rsidP="00FD1CF2">
      <w:pPr>
        <w:jc w:val="both"/>
        <w:rPr>
          <w:b/>
          <w:bCs/>
        </w:rPr>
      </w:pPr>
      <w:r w:rsidRPr="00A47287">
        <w:rPr>
          <w:b/>
          <w:bCs/>
        </w:rPr>
        <w:t>Support a parent-node receiving</w:t>
      </w:r>
      <w:r>
        <w:rPr>
          <w:b/>
          <w:bCs/>
        </w:rPr>
        <w:t>, from the CU,</w:t>
      </w:r>
      <w:r w:rsidRPr="00A47287">
        <w:rPr>
          <w:b/>
          <w:bCs/>
        </w:rPr>
        <w:t xml:space="preserve"> </w:t>
      </w:r>
      <w:r>
        <w:rPr>
          <w:b/>
          <w:bCs/>
        </w:rPr>
        <w:t xml:space="preserve">the result of </w:t>
      </w:r>
      <w:r w:rsidRPr="00A47287">
        <w:rPr>
          <w:b/>
          <w:bCs/>
        </w:rPr>
        <w:t>CLI measurements of the child nodes</w:t>
      </w:r>
      <w:r>
        <w:rPr>
          <w:b/>
          <w:bCs/>
        </w:rPr>
        <w:t>.</w:t>
      </w:r>
    </w:p>
    <w:p w14:paraId="444E0B3D" w14:textId="77777777" w:rsidR="00FD1CF2" w:rsidRPr="00D17B55" w:rsidRDefault="00FD1CF2" w:rsidP="00FD1CF2">
      <w:pPr>
        <w:jc w:val="both"/>
        <w:rPr>
          <w:b/>
          <w:bCs/>
        </w:rPr>
      </w:pPr>
      <w:r>
        <w:rPr>
          <w:b/>
          <w:bCs/>
        </w:rPr>
        <w:t xml:space="preserve">The provided information can be in the form of a list of </w:t>
      </w:r>
      <w:r w:rsidRPr="00D17B55">
        <w:rPr>
          <w:b/>
          <w:bCs/>
        </w:rPr>
        <w:t xml:space="preserve">child </w:t>
      </w:r>
      <w:r>
        <w:rPr>
          <w:b/>
          <w:bCs/>
        </w:rPr>
        <w:t>nodes that</w:t>
      </w:r>
      <w:r w:rsidRPr="00D17B55">
        <w:rPr>
          <w:b/>
          <w:bCs/>
        </w:rPr>
        <w:t xml:space="preserve"> are subject to strong CLI from </w:t>
      </w:r>
      <w:r>
        <w:rPr>
          <w:b/>
          <w:bCs/>
        </w:rPr>
        <w:t xml:space="preserve">associated </w:t>
      </w:r>
      <w:r w:rsidRPr="00D17B55">
        <w:rPr>
          <w:b/>
          <w:bCs/>
        </w:rPr>
        <w:t xml:space="preserve">neighbouring </w:t>
      </w:r>
      <w:r>
        <w:rPr>
          <w:b/>
          <w:bCs/>
        </w:rPr>
        <w:t>cells</w:t>
      </w:r>
      <w:r w:rsidRPr="00D17B55">
        <w:rPr>
          <w:b/>
          <w:bCs/>
        </w:rPr>
        <w:t xml:space="preserve">.  </w:t>
      </w:r>
    </w:p>
    <w:p w14:paraId="011205FF" w14:textId="77777777" w:rsidR="00FD1CF2" w:rsidRDefault="00FD1CF2" w:rsidP="00FD1CF2">
      <w:pPr>
        <w:rPr>
          <w:b/>
          <w:bCs/>
          <w:u w:val="single"/>
        </w:rPr>
      </w:pPr>
    </w:p>
    <w:p w14:paraId="2B7CAB28" w14:textId="77777777" w:rsidR="00FD1CF2" w:rsidRPr="00D17B55" w:rsidRDefault="00FD1CF2" w:rsidP="00FD1CF2">
      <w:pPr>
        <w:jc w:val="both"/>
        <w:rPr>
          <w:b/>
          <w:bCs/>
        </w:rPr>
      </w:pPr>
      <w:r>
        <w:rPr>
          <w:b/>
          <w:bCs/>
          <w:u w:val="single"/>
        </w:rPr>
        <w:t>Observation</w:t>
      </w:r>
      <w:r w:rsidRPr="00D17B55">
        <w:rPr>
          <w:b/>
          <w:bCs/>
          <w:u w:val="single"/>
        </w:rPr>
        <w:t xml:space="preserve"> 3.</w:t>
      </w:r>
      <w:r>
        <w:rPr>
          <w:b/>
          <w:bCs/>
          <w:u w:val="single"/>
        </w:rPr>
        <w:t>5</w:t>
      </w:r>
      <w:r w:rsidRPr="00D17B55">
        <w:rPr>
          <w:b/>
          <w:bCs/>
          <w:u w:val="single"/>
        </w:rPr>
        <w:t>:</w:t>
      </w:r>
      <w:r w:rsidRPr="00D17B55">
        <w:rPr>
          <w:b/>
          <w:bCs/>
        </w:rPr>
        <w:t xml:space="preserve"> </w:t>
      </w:r>
    </w:p>
    <w:p w14:paraId="68BED4C1" w14:textId="77777777" w:rsidR="00FD1CF2" w:rsidRDefault="00FD1CF2" w:rsidP="00FD1CF2">
      <w:pPr>
        <w:jc w:val="both"/>
        <w:rPr>
          <w:b/>
          <w:bCs/>
        </w:rPr>
      </w:pPr>
      <w:r>
        <w:rPr>
          <w:b/>
          <w:bCs/>
        </w:rPr>
        <w:t xml:space="preserve">Without </w:t>
      </w:r>
      <w:r w:rsidRPr="005100FE">
        <w:rPr>
          <w:b/>
          <w:bCs/>
        </w:rPr>
        <w:t>IAB-DU H/S/NA resource configuration</w:t>
      </w:r>
      <w:r>
        <w:rPr>
          <w:b/>
          <w:bCs/>
        </w:rPr>
        <w:t xml:space="preserve"> information, intended TDD DL-UL configuration alone is not good enough to efficiently handle CLI, because it may lead to an unnecessary restriction on a DU scheduler, and its resource utilization.  </w:t>
      </w:r>
    </w:p>
    <w:p w14:paraId="7BF4D06E" w14:textId="77777777" w:rsidR="00FD1CF2" w:rsidRDefault="00FD1CF2" w:rsidP="00FD1CF2">
      <w:pPr>
        <w:jc w:val="both"/>
        <w:rPr>
          <w:b/>
          <w:bCs/>
        </w:rPr>
      </w:pPr>
      <w:r>
        <w:rPr>
          <w:b/>
          <w:bCs/>
        </w:rPr>
        <w:t xml:space="preserve">The exchange of </w:t>
      </w:r>
      <w:r w:rsidRPr="005100FE">
        <w:rPr>
          <w:b/>
          <w:bCs/>
        </w:rPr>
        <w:t>IAB-DU H/S/NA resource configuration</w:t>
      </w:r>
      <w:r>
        <w:rPr>
          <w:b/>
          <w:bCs/>
        </w:rPr>
        <w:t xml:space="preserve"> information among neighboring nodes is expected be semi-static and optional. Hence, there should not be a major concern about signaling overhead.</w:t>
      </w:r>
    </w:p>
    <w:p w14:paraId="79ED0C16" w14:textId="77777777" w:rsidR="00FD1CF2" w:rsidRDefault="00FD1CF2" w:rsidP="00FD1CF2">
      <w:pPr>
        <w:jc w:val="both"/>
        <w:rPr>
          <w:b/>
          <w:bCs/>
          <w:u w:val="single"/>
        </w:rPr>
      </w:pPr>
    </w:p>
    <w:p w14:paraId="15F59936" w14:textId="77777777" w:rsidR="00FD1CF2" w:rsidRPr="00D17B55" w:rsidRDefault="00FD1CF2" w:rsidP="00FD1CF2">
      <w:pPr>
        <w:jc w:val="both"/>
        <w:rPr>
          <w:b/>
          <w:bCs/>
        </w:rPr>
      </w:pPr>
      <w:r w:rsidRPr="00D17B55">
        <w:rPr>
          <w:b/>
          <w:bCs/>
          <w:u w:val="single"/>
        </w:rPr>
        <w:t>Proposal 3.</w:t>
      </w:r>
      <w:r>
        <w:rPr>
          <w:b/>
          <w:bCs/>
          <w:u w:val="single"/>
        </w:rPr>
        <w:t>4</w:t>
      </w:r>
      <w:r w:rsidRPr="00D17B55">
        <w:rPr>
          <w:b/>
          <w:bCs/>
          <w:u w:val="single"/>
        </w:rPr>
        <w:t>:</w:t>
      </w:r>
      <w:r w:rsidRPr="00D17B55">
        <w:rPr>
          <w:b/>
          <w:bCs/>
        </w:rPr>
        <w:t xml:space="preserve"> </w:t>
      </w:r>
    </w:p>
    <w:p w14:paraId="0A0371C8" w14:textId="77777777" w:rsidR="00FD1CF2" w:rsidRDefault="00FD1CF2" w:rsidP="00FD1CF2">
      <w:pPr>
        <w:rPr>
          <w:b/>
          <w:bCs/>
        </w:rPr>
      </w:pPr>
      <w:r w:rsidRPr="00725E4A">
        <w:rPr>
          <w:b/>
          <w:bCs/>
        </w:rPr>
        <w:t>Support the exchange of IAB-DU H/S/NA resource configuration information among neighbouring IAB-nodes/IAB-donors.</w:t>
      </w:r>
    </w:p>
    <w:p w14:paraId="4130ABDF" w14:textId="77777777" w:rsidR="00FD1CF2" w:rsidRDefault="00FD1CF2" w:rsidP="00FD1CF2">
      <w:pPr>
        <w:rPr>
          <w:b/>
          <w:bCs/>
          <w:u w:val="single"/>
        </w:rPr>
      </w:pPr>
    </w:p>
    <w:p w14:paraId="033E55EB" w14:textId="77777777" w:rsidR="00FD1CF2" w:rsidRPr="00C073D1" w:rsidRDefault="00FD1CF2" w:rsidP="00FD1CF2">
      <w:pPr>
        <w:rPr>
          <w:i/>
          <w:iCs/>
          <w:u w:val="single"/>
        </w:rPr>
      </w:pPr>
      <w:r w:rsidRPr="00C073D1">
        <w:rPr>
          <w:i/>
          <w:iCs/>
          <w:u w:val="single"/>
        </w:rPr>
        <w:t>For the enhancements to the power control:</w:t>
      </w:r>
    </w:p>
    <w:p w14:paraId="0972CBED" w14:textId="77777777" w:rsidR="00FD1CF2" w:rsidRPr="00D17B55" w:rsidRDefault="00FD1CF2" w:rsidP="00FD1CF2">
      <w:pPr>
        <w:jc w:val="both"/>
        <w:rPr>
          <w:b/>
          <w:bCs/>
        </w:rPr>
      </w:pPr>
      <w:r w:rsidRPr="00D17B55">
        <w:rPr>
          <w:b/>
          <w:bCs/>
          <w:u w:val="single"/>
        </w:rPr>
        <w:t xml:space="preserve">Observation </w:t>
      </w:r>
      <w:r>
        <w:rPr>
          <w:b/>
          <w:bCs/>
          <w:u w:val="single"/>
        </w:rPr>
        <w:t>4</w:t>
      </w:r>
      <w:r w:rsidRPr="00D17B55">
        <w:rPr>
          <w:b/>
          <w:bCs/>
          <w:u w:val="single"/>
        </w:rPr>
        <w:t>.</w:t>
      </w:r>
      <w:r>
        <w:rPr>
          <w:b/>
          <w:bCs/>
          <w:u w:val="single"/>
        </w:rPr>
        <w:t>1</w:t>
      </w:r>
      <w:r w:rsidRPr="00D17B55">
        <w:rPr>
          <w:b/>
          <w:bCs/>
          <w:u w:val="single"/>
        </w:rPr>
        <w:t>:</w:t>
      </w:r>
      <w:r w:rsidRPr="00D17B55">
        <w:rPr>
          <w:b/>
          <w:bCs/>
        </w:rPr>
        <w:t xml:space="preserve"> </w:t>
      </w:r>
    </w:p>
    <w:p w14:paraId="1405F561" w14:textId="77777777" w:rsidR="00FD1CF2" w:rsidRDefault="00FD1CF2" w:rsidP="00FD1CF2">
      <w:pPr>
        <w:contextualSpacing/>
        <w:jc w:val="both"/>
        <w:rPr>
          <w:b/>
          <w:bCs/>
        </w:rPr>
      </w:pPr>
      <w:r>
        <w:rPr>
          <w:b/>
          <w:bCs/>
        </w:rPr>
        <w:t>IAB-MT may have different U TX power constraints depending on its multiplexing mode of operation.</w:t>
      </w:r>
    </w:p>
    <w:p w14:paraId="43A35023" w14:textId="77777777" w:rsidR="00FD1CF2" w:rsidRDefault="00FD1CF2" w:rsidP="00FD1CF2">
      <w:pPr>
        <w:contextualSpacing/>
        <w:jc w:val="both"/>
        <w:rPr>
          <w:b/>
          <w:bCs/>
        </w:rPr>
      </w:pPr>
    </w:p>
    <w:p w14:paraId="6B462B5D" w14:textId="77777777" w:rsidR="00FD1CF2" w:rsidRDefault="00FD1CF2" w:rsidP="00FD1CF2">
      <w:pPr>
        <w:contextualSpacing/>
        <w:jc w:val="both"/>
        <w:rPr>
          <w:b/>
          <w:bCs/>
        </w:rPr>
      </w:pPr>
      <w:r>
        <w:rPr>
          <w:b/>
          <w:bCs/>
        </w:rPr>
        <w:t>Using legacy PHR signalling to indicate/update such MT’s UL TX constraints incurs overhead and latency, in case of dynamically switching between different multiplexing modes of operation.</w:t>
      </w:r>
    </w:p>
    <w:p w14:paraId="7DFA6C71" w14:textId="77777777" w:rsidR="00FD1CF2" w:rsidRDefault="00FD1CF2" w:rsidP="00FD1CF2">
      <w:pPr>
        <w:contextualSpacing/>
        <w:jc w:val="both"/>
        <w:rPr>
          <w:b/>
          <w:bCs/>
        </w:rPr>
      </w:pPr>
    </w:p>
    <w:p w14:paraId="0B1F2D5B" w14:textId="77777777" w:rsidR="00FD1CF2" w:rsidRDefault="00FD1CF2" w:rsidP="00FD1CF2">
      <w:pPr>
        <w:contextualSpacing/>
        <w:jc w:val="both"/>
        <w:rPr>
          <w:b/>
          <w:bCs/>
        </w:rPr>
      </w:pPr>
      <w:r>
        <w:rPr>
          <w:b/>
          <w:bCs/>
        </w:rPr>
        <w:t xml:space="preserve">It is more efficient to indicate and associate MT’s UL TX power constraints with different multiplexing modes of operation. </w:t>
      </w:r>
    </w:p>
    <w:p w14:paraId="461BAABD" w14:textId="77777777" w:rsidR="00FD1CF2" w:rsidRDefault="00FD1CF2" w:rsidP="00FD1CF2">
      <w:pPr>
        <w:contextualSpacing/>
        <w:jc w:val="both"/>
        <w:rPr>
          <w:b/>
          <w:bCs/>
        </w:rPr>
      </w:pPr>
    </w:p>
    <w:p w14:paraId="2E71F4B8" w14:textId="77777777" w:rsidR="00FD1CF2" w:rsidRDefault="00FD1CF2" w:rsidP="00FD1CF2">
      <w:pPr>
        <w:contextualSpacing/>
        <w:jc w:val="both"/>
        <w:rPr>
          <w:b/>
          <w:bCs/>
        </w:rPr>
      </w:pPr>
    </w:p>
    <w:p w14:paraId="64C60B70" w14:textId="77777777" w:rsidR="00FD1CF2" w:rsidRPr="00D17B55" w:rsidRDefault="00FD1CF2" w:rsidP="00FD1CF2">
      <w:pPr>
        <w:jc w:val="both"/>
        <w:rPr>
          <w:b/>
          <w:bCs/>
        </w:rPr>
      </w:pPr>
      <w:r w:rsidRPr="00D17B55">
        <w:rPr>
          <w:b/>
          <w:bCs/>
          <w:u w:val="single"/>
        </w:rPr>
        <w:t>Proposal 4.</w:t>
      </w:r>
      <w:r>
        <w:rPr>
          <w:b/>
          <w:bCs/>
          <w:u w:val="single"/>
        </w:rPr>
        <w:t>1</w:t>
      </w:r>
      <w:r w:rsidRPr="00D17B55">
        <w:rPr>
          <w:b/>
          <w:bCs/>
          <w:u w:val="single"/>
        </w:rPr>
        <w:t>:</w:t>
      </w:r>
      <w:r w:rsidRPr="00D17B55">
        <w:rPr>
          <w:b/>
          <w:bCs/>
        </w:rPr>
        <w:t xml:space="preserve"> </w:t>
      </w:r>
    </w:p>
    <w:p w14:paraId="1CB1A44D" w14:textId="77777777" w:rsidR="00FD1CF2" w:rsidRDefault="00FD1CF2" w:rsidP="00FD1CF2">
      <w:pPr>
        <w:contextualSpacing/>
        <w:jc w:val="both"/>
        <w:rPr>
          <w:b/>
          <w:bCs/>
        </w:rPr>
      </w:pPr>
      <w:r>
        <w:rPr>
          <w:b/>
          <w:bCs/>
        </w:rPr>
        <w:t>S</w:t>
      </w:r>
      <w:r w:rsidRPr="00A129CD">
        <w:rPr>
          <w:b/>
          <w:bCs/>
        </w:rPr>
        <w:t>upport an IAB-node indicating assistance information to help with its MT’s UL TX power control</w:t>
      </w:r>
      <w:r>
        <w:rPr>
          <w:b/>
          <w:bCs/>
        </w:rPr>
        <w:t>.</w:t>
      </w:r>
    </w:p>
    <w:p w14:paraId="65F8E4EE" w14:textId="77777777" w:rsidR="00FD1CF2" w:rsidRDefault="00FD1CF2" w:rsidP="00FD1CF2">
      <w:pPr>
        <w:pStyle w:val="ListParagraph"/>
        <w:numPr>
          <w:ilvl w:val="0"/>
          <w:numId w:val="8"/>
        </w:numPr>
        <w:tabs>
          <w:tab w:val="clear" w:pos="720"/>
          <w:tab w:val="num" w:pos="360"/>
        </w:tabs>
        <w:ind w:left="360"/>
        <w:jc w:val="both"/>
        <w:rPr>
          <w:b/>
          <w:bCs/>
        </w:rPr>
      </w:pPr>
      <w:r w:rsidRPr="00E86F3E">
        <w:rPr>
          <w:b/>
          <w:bCs/>
        </w:rPr>
        <w:t>The assistance information is indicated in terms of desired dynamic range</w:t>
      </w:r>
      <w:r>
        <w:rPr>
          <w:b/>
          <w:bCs/>
        </w:rPr>
        <w:t xml:space="preserve">, per multiplexing mode of operation. </w:t>
      </w:r>
    </w:p>
    <w:p w14:paraId="187358D4" w14:textId="77777777" w:rsidR="00FD1CF2" w:rsidRPr="00E86F3E" w:rsidRDefault="00FD1CF2" w:rsidP="00FD1CF2">
      <w:pPr>
        <w:pStyle w:val="ListParagraph"/>
        <w:numPr>
          <w:ilvl w:val="0"/>
          <w:numId w:val="8"/>
        </w:numPr>
        <w:tabs>
          <w:tab w:val="clear" w:pos="720"/>
          <w:tab w:val="num" w:pos="360"/>
        </w:tabs>
        <w:ind w:left="360"/>
        <w:jc w:val="both"/>
        <w:rPr>
          <w:b/>
          <w:bCs/>
        </w:rPr>
      </w:pPr>
      <w:r>
        <w:rPr>
          <w:b/>
          <w:bCs/>
        </w:rPr>
        <w:t xml:space="preserve">This information can be provided to either of the parent-node or the CU. </w:t>
      </w:r>
    </w:p>
    <w:p w14:paraId="1C2372BE" w14:textId="77777777" w:rsidR="00FD1CF2" w:rsidRDefault="00FD1CF2" w:rsidP="00FD1CF2">
      <w:pPr>
        <w:jc w:val="both"/>
        <w:rPr>
          <w:b/>
          <w:bCs/>
          <w:u w:val="single"/>
        </w:rPr>
      </w:pPr>
    </w:p>
    <w:p w14:paraId="16F59F91" w14:textId="77777777" w:rsidR="00FD1CF2" w:rsidRPr="00D17B55" w:rsidRDefault="00FD1CF2" w:rsidP="00FD1CF2">
      <w:pPr>
        <w:jc w:val="both"/>
        <w:rPr>
          <w:b/>
          <w:bCs/>
        </w:rPr>
      </w:pPr>
      <w:r w:rsidRPr="00D17B55">
        <w:rPr>
          <w:b/>
          <w:bCs/>
          <w:u w:val="single"/>
        </w:rPr>
        <w:t>Proposal 4.</w:t>
      </w:r>
      <w:r>
        <w:rPr>
          <w:b/>
          <w:bCs/>
          <w:u w:val="single"/>
        </w:rPr>
        <w:t>2</w:t>
      </w:r>
      <w:r w:rsidRPr="00D17B55">
        <w:rPr>
          <w:b/>
          <w:bCs/>
          <w:u w:val="single"/>
        </w:rPr>
        <w:t>:</w:t>
      </w:r>
      <w:r w:rsidRPr="00D17B55">
        <w:rPr>
          <w:b/>
          <w:bCs/>
        </w:rPr>
        <w:t xml:space="preserve"> </w:t>
      </w:r>
    </w:p>
    <w:p w14:paraId="67F74E85" w14:textId="77777777" w:rsidR="00FD1CF2" w:rsidRDefault="00FD1CF2" w:rsidP="00FD1CF2">
      <w:pPr>
        <w:contextualSpacing/>
        <w:jc w:val="both"/>
        <w:rPr>
          <w:b/>
          <w:bCs/>
        </w:rPr>
      </w:pPr>
      <w:r>
        <w:rPr>
          <w:b/>
          <w:bCs/>
        </w:rPr>
        <w:t xml:space="preserve">The desired DL TX power adjustment is indicated to the parent-node per multiplexing mode of operation. </w:t>
      </w:r>
    </w:p>
    <w:p w14:paraId="158C4426" w14:textId="77777777" w:rsidR="00FD1CF2" w:rsidRDefault="00FD1CF2" w:rsidP="00FD1CF2">
      <w:pPr>
        <w:jc w:val="both"/>
        <w:rPr>
          <w:b/>
          <w:bCs/>
          <w:u w:val="single"/>
        </w:rPr>
      </w:pPr>
    </w:p>
    <w:p w14:paraId="411F14A3" w14:textId="77777777" w:rsidR="00FD1CF2" w:rsidRPr="00D17B55" w:rsidRDefault="00FD1CF2" w:rsidP="00FD1CF2">
      <w:pPr>
        <w:jc w:val="both"/>
        <w:rPr>
          <w:b/>
          <w:bCs/>
        </w:rPr>
      </w:pPr>
      <w:r w:rsidRPr="00D17B55">
        <w:rPr>
          <w:b/>
          <w:bCs/>
          <w:u w:val="single"/>
        </w:rPr>
        <w:t xml:space="preserve">Observation </w:t>
      </w:r>
      <w:r>
        <w:rPr>
          <w:b/>
          <w:bCs/>
          <w:u w:val="single"/>
        </w:rPr>
        <w:t>4</w:t>
      </w:r>
      <w:r w:rsidRPr="00D17B55">
        <w:rPr>
          <w:b/>
          <w:bCs/>
          <w:u w:val="single"/>
        </w:rPr>
        <w:t>.</w:t>
      </w:r>
      <w:r>
        <w:rPr>
          <w:b/>
          <w:bCs/>
          <w:u w:val="single"/>
        </w:rPr>
        <w:t>2</w:t>
      </w:r>
      <w:r w:rsidRPr="00D17B55">
        <w:rPr>
          <w:b/>
          <w:bCs/>
          <w:u w:val="single"/>
        </w:rPr>
        <w:t>:</w:t>
      </w:r>
      <w:r w:rsidRPr="00D17B55">
        <w:rPr>
          <w:b/>
          <w:bCs/>
        </w:rPr>
        <w:t xml:space="preserve"> </w:t>
      </w:r>
    </w:p>
    <w:p w14:paraId="606778D8" w14:textId="77777777" w:rsidR="00FD1CF2" w:rsidRDefault="00FD1CF2" w:rsidP="00FD1CF2">
      <w:pPr>
        <w:rPr>
          <w:b/>
          <w:bCs/>
        </w:rPr>
      </w:pPr>
      <w:r w:rsidRPr="00AC4B9F">
        <w:rPr>
          <w:b/>
          <w:bCs/>
        </w:rPr>
        <w:t>CU is in a unique position to assist with power management for interference coordination among different served nodes or nodes associated with neighbouring CUs</w:t>
      </w:r>
      <w:r>
        <w:rPr>
          <w:b/>
          <w:bCs/>
        </w:rPr>
        <w:t>,</w:t>
      </w:r>
      <w:r w:rsidRPr="00AC4B9F">
        <w:rPr>
          <w:b/>
          <w:bCs/>
        </w:rPr>
        <w:t xml:space="preserve"> in case of no </w:t>
      </w:r>
      <w:r>
        <w:rPr>
          <w:b/>
          <w:bCs/>
        </w:rPr>
        <w:t xml:space="preserve">strict </w:t>
      </w:r>
      <w:r w:rsidRPr="00AC4B9F">
        <w:rPr>
          <w:b/>
          <w:bCs/>
        </w:rPr>
        <w:t>network planning.</w:t>
      </w:r>
    </w:p>
    <w:p w14:paraId="7C93E92E" w14:textId="77777777" w:rsidR="00FD1CF2" w:rsidRPr="00BE268D" w:rsidRDefault="00FD1CF2" w:rsidP="00FD1CF2">
      <w:pPr>
        <w:rPr>
          <w:b/>
          <w:bCs/>
        </w:rPr>
      </w:pPr>
      <w:r>
        <w:rPr>
          <w:b/>
          <w:bCs/>
        </w:rPr>
        <w:t xml:space="preserve">A </w:t>
      </w:r>
      <w:r w:rsidRPr="00BE268D">
        <w:rPr>
          <w:b/>
          <w:bCs/>
        </w:rPr>
        <w:t xml:space="preserve">central power coordination </w:t>
      </w:r>
      <w:r>
        <w:rPr>
          <w:b/>
          <w:bCs/>
        </w:rPr>
        <w:t xml:space="preserve">seems </w:t>
      </w:r>
      <w:r w:rsidRPr="00BE268D">
        <w:rPr>
          <w:b/>
          <w:bCs/>
        </w:rPr>
        <w:t xml:space="preserve">a natural extension of </w:t>
      </w:r>
      <w:r>
        <w:rPr>
          <w:b/>
          <w:bCs/>
        </w:rPr>
        <w:t xml:space="preserve">the </w:t>
      </w:r>
      <w:r w:rsidRPr="00BE268D">
        <w:rPr>
          <w:b/>
          <w:bCs/>
        </w:rPr>
        <w:t>IAB resource management framework to also let the CU configure some limitations on the TX powers to allow more efficient resource utilization and interference management.</w:t>
      </w:r>
    </w:p>
    <w:p w14:paraId="51658D6F" w14:textId="77777777" w:rsidR="00FD1CF2" w:rsidRDefault="00FD1CF2" w:rsidP="00FD1CF2">
      <w:pPr>
        <w:jc w:val="both"/>
        <w:rPr>
          <w:b/>
          <w:bCs/>
        </w:rPr>
      </w:pPr>
    </w:p>
    <w:p w14:paraId="3FEFC1C0" w14:textId="77777777" w:rsidR="00FD1CF2" w:rsidRPr="00D17B55" w:rsidRDefault="00FD1CF2" w:rsidP="00FD1CF2">
      <w:pPr>
        <w:jc w:val="both"/>
        <w:rPr>
          <w:b/>
          <w:bCs/>
        </w:rPr>
      </w:pPr>
      <w:r w:rsidRPr="00D17B55">
        <w:rPr>
          <w:b/>
          <w:bCs/>
          <w:u w:val="single"/>
        </w:rPr>
        <w:t>Proposal 4.</w:t>
      </w:r>
      <w:r>
        <w:rPr>
          <w:b/>
          <w:bCs/>
          <w:u w:val="single"/>
        </w:rPr>
        <w:t>3</w:t>
      </w:r>
      <w:r w:rsidRPr="00D17B55">
        <w:rPr>
          <w:b/>
          <w:bCs/>
          <w:u w:val="single"/>
        </w:rPr>
        <w:t>:</w:t>
      </w:r>
      <w:r w:rsidRPr="00D17B55">
        <w:rPr>
          <w:b/>
          <w:bCs/>
        </w:rPr>
        <w:t xml:space="preserve"> </w:t>
      </w:r>
    </w:p>
    <w:p w14:paraId="6BE8C833" w14:textId="77777777" w:rsidR="00FD1CF2" w:rsidRPr="00D17B55" w:rsidRDefault="00FD1CF2" w:rsidP="00FD1CF2">
      <w:pPr>
        <w:rPr>
          <w:b/>
          <w:bCs/>
        </w:rPr>
      </w:pPr>
      <w:r w:rsidRPr="00D17B55">
        <w:rPr>
          <w:b/>
          <w:bCs/>
        </w:rPr>
        <w:t xml:space="preserve">Support CU </w:t>
      </w:r>
      <w:r>
        <w:rPr>
          <w:b/>
          <w:bCs/>
        </w:rPr>
        <w:t xml:space="preserve">indicating information to coordinate the DL/UL power control. </w:t>
      </w:r>
    </w:p>
    <w:p w14:paraId="5C554A7B" w14:textId="77777777" w:rsidR="00FD1CF2" w:rsidRPr="00D17B55" w:rsidRDefault="00FD1CF2" w:rsidP="00FD1CF2">
      <w:pPr>
        <w:rPr>
          <w:b/>
          <w:bCs/>
          <w:u w:val="single"/>
        </w:rPr>
      </w:pPr>
    </w:p>
    <w:p w14:paraId="4F17378F" w14:textId="77777777" w:rsidR="00FD1CF2" w:rsidRPr="00D17B55" w:rsidRDefault="00FD1CF2" w:rsidP="00FD1CF2">
      <w:pPr>
        <w:keepNext/>
        <w:keepLines/>
        <w:spacing w:before="180"/>
        <w:outlineLvl w:val="1"/>
        <w:rPr>
          <w:rFonts w:ascii="Arial" w:hAnsi="Arial"/>
          <w:sz w:val="32"/>
        </w:rPr>
      </w:pPr>
      <w:r w:rsidRPr="00D17B55">
        <w:rPr>
          <w:rFonts w:ascii="Arial" w:hAnsi="Arial"/>
          <w:sz w:val="32"/>
        </w:rPr>
        <w:lastRenderedPageBreak/>
        <w:t>References</w:t>
      </w:r>
    </w:p>
    <w:p w14:paraId="48BB51D9" w14:textId="77777777" w:rsidR="00FD1CF2" w:rsidRDefault="00FD1CF2" w:rsidP="00FD1CF2">
      <w:pPr>
        <w:rPr>
          <w:sz w:val="18"/>
        </w:rPr>
      </w:pPr>
      <w:r w:rsidRPr="00D17B55">
        <w:rPr>
          <w:sz w:val="18"/>
        </w:rPr>
        <w:t>[</w:t>
      </w:r>
      <w:r>
        <w:rPr>
          <w:sz w:val="18"/>
        </w:rPr>
        <w:t>1</w:t>
      </w:r>
      <w:r w:rsidRPr="00D17B55">
        <w:rPr>
          <w:sz w:val="18"/>
        </w:rPr>
        <w:t>] R1-</w:t>
      </w:r>
      <w:r>
        <w:rPr>
          <w:sz w:val="18"/>
        </w:rPr>
        <w:t>2106313, “Final feature lead summary on enhancements to simultaneous operation of IAB-node’s child and parent links”, Qualcomm</w:t>
      </w:r>
      <w:r w:rsidRPr="00D17B55">
        <w:rPr>
          <w:sz w:val="18"/>
        </w:rPr>
        <w:t>.</w:t>
      </w:r>
    </w:p>
    <w:p w14:paraId="553FD70F" w14:textId="77777777" w:rsidR="00FD1CF2" w:rsidRPr="00D17B55" w:rsidRDefault="00FD1CF2" w:rsidP="00FD1CF2">
      <w:pPr>
        <w:rPr>
          <w:sz w:val="18"/>
        </w:rPr>
      </w:pPr>
      <w:r>
        <w:rPr>
          <w:sz w:val="18"/>
        </w:rPr>
        <w:t xml:space="preserve">[2] R1-2104692, “On enhancements for simultaneous operation of IAB-node’s child and parent links”, </w:t>
      </w:r>
      <w:r w:rsidRPr="006F321F">
        <w:rPr>
          <w:sz w:val="18"/>
        </w:rPr>
        <w:t>Qualcomm Incorporated</w:t>
      </w:r>
      <w:r>
        <w:rPr>
          <w:sz w:val="18"/>
        </w:rPr>
        <w:t>.</w:t>
      </w:r>
    </w:p>
    <w:p w14:paraId="0D2A4381" w14:textId="77777777" w:rsidR="00FD1CF2" w:rsidRPr="00D17B55" w:rsidRDefault="00FD1CF2" w:rsidP="00FD1CF2"/>
    <w:p w14:paraId="2D7D71B0" w14:textId="4E1C539B" w:rsidR="00BD62C8" w:rsidRPr="009B5DA9" w:rsidRDefault="00BD62C8" w:rsidP="00024A3E">
      <w:pPr>
        <w:pStyle w:val="Heading2"/>
        <w:jc w:val="both"/>
      </w:pPr>
    </w:p>
    <w:sectPr w:rsidR="00BD62C8" w:rsidRPr="009B5DA9">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8FFCD" w14:textId="77777777" w:rsidR="00763398" w:rsidRDefault="00763398">
      <w:pPr>
        <w:spacing w:after="0"/>
      </w:pPr>
      <w:r>
        <w:separator/>
      </w:r>
    </w:p>
  </w:endnote>
  <w:endnote w:type="continuationSeparator" w:id="0">
    <w:p w14:paraId="3F791F76" w14:textId="77777777" w:rsidR="00763398" w:rsidRDefault="00763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5E9A5" w14:textId="77777777" w:rsidR="00763398" w:rsidRDefault="00763398">
      <w:pPr>
        <w:spacing w:after="0"/>
      </w:pPr>
      <w:r>
        <w:separator/>
      </w:r>
    </w:p>
  </w:footnote>
  <w:footnote w:type="continuationSeparator" w:id="0">
    <w:p w14:paraId="746EB154" w14:textId="77777777" w:rsidR="00763398" w:rsidRDefault="007633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90C9C" w14:textId="77777777" w:rsidR="00E25086" w:rsidRDefault="00E250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679E"/>
    <w:multiLevelType w:val="hybridMultilevel"/>
    <w:tmpl w:val="E3B2B948"/>
    <w:lvl w:ilvl="0" w:tplc="040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F5575"/>
    <w:multiLevelType w:val="hybridMultilevel"/>
    <w:tmpl w:val="3EC8FF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2059D1"/>
    <w:multiLevelType w:val="hybridMultilevel"/>
    <w:tmpl w:val="433A7816"/>
    <w:lvl w:ilvl="0" w:tplc="48DC9432">
      <w:start w:val="2"/>
      <w:numFmt w:val="bullet"/>
      <w:lvlText w:val="-"/>
      <w:lvlJc w:val="left"/>
      <w:pPr>
        <w:tabs>
          <w:tab w:val="num" w:pos="360"/>
        </w:tabs>
        <w:ind w:left="360" w:hanging="360"/>
      </w:pPr>
      <w:rPr>
        <w:rFonts w:ascii="Calibri" w:eastAsiaTheme="minorEastAsia" w:hAnsi="Calibri" w:cs="Calibri" w:hint="default"/>
      </w:rPr>
    </w:lvl>
    <w:lvl w:ilvl="1" w:tplc="808A9438">
      <w:start w:val="1"/>
      <w:numFmt w:val="bullet"/>
      <w:lvlText w:val="•"/>
      <w:lvlJc w:val="left"/>
      <w:pPr>
        <w:tabs>
          <w:tab w:val="num" w:pos="1080"/>
        </w:tabs>
        <w:ind w:left="1080" w:hanging="360"/>
      </w:pPr>
      <w:rPr>
        <w:rFonts w:ascii="Arial" w:hAnsi="Arial" w:hint="default"/>
      </w:rPr>
    </w:lvl>
    <w:lvl w:ilvl="2" w:tplc="A4C80362" w:tentative="1">
      <w:start w:val="1"/>
      <w:numFmt w:val="bullet"/>
      <w:lvlText w:val="•"/>
      <w:lvlJc w:val="left"/>
      <w:pPr>
        <w:tabs>
          <w:tab w:val="num" w:pos="1800"/>
        </w:tabs>
        <w:ind w:left="1800" w:hanging="360"/>
      </w:pPr>
      <w:rPr>
        <w:rFonts w:ascii="Arial" w:hAnsi="Arial" w:hint="default"/>
      </w:rPr>
    </w:lvl>
    <w:lvl w:ilvl="3" w:tplc="FE7A4BCC" w:tentative="1">
      <w:start w:val="1"/>
      <w:numFmt w:val="bullet"/>
      <w:lvlText w:val="•"/>
      <w:lvlJc w:val="left"/>
      <w:pPr>
        <w:tabs>
          <w:tab w:val="num" w:pos="2520"/>
        </w:tabs>
        <w:ind w:left="2520" w:hanging="360"/>
      </w:pPr>
      <w:rPr>
        <w:rFonts w:ascii="Arial" w:hAnsi="Arial" w:hint="default"/>
      </w:rPr>
    </w:lvl>
    <w:lvl w:ilvl="4" w:tplc="2ED65548" w:tentative="1">
      <w:start w:val="1"/>
      <w:numFmt w:val="bullet"/>
      <w:lvlText w:val="•"/>
      <w:lvlJc w:val="left"/>
      <w:pPr>
        <w:tabs>
          <w:tab w:val="num" w:pos="3240"/>
        </w:tabs>
        <w:ind w:left="3240" w:hanging="360"/>
      </w:pPr>
      <w:rPr>
        <w:rFonts w:ascii="Arial" w:hAnsi="Arial" w:hint="default"/>
      </w:rPr>
    </w:lvl>
    <w:lvl w:ilvl="5" w:tplc="FFC24890" w:tentative="1">
      <w:start w:val="1"/>
      <w:numFmt w:val="bullet"/>
      <w:lvlText w:val="•"/>
      <w:lvlJc w:val="left"/>
      <w:pPr>
        <w:tabs>
          <w:tab w:val="num" w:pos="3960"/>
        </w:tabs>
        <w:ind w:left="3960" w:hanging="360"/>
      </w:pPr>
      <w:rPr>
        <w:rFonts w:ascii="Arial" w:hAnsi="Arial" w:hint="default"/>
      </w:rPr>
    </w:lvl>
    <w:lvl w:ilvl="6" w:tplc="3E022E80" w:tentative="1">
      <w:start w:val="1"/>
      <w:numFmt w:val="bullet"/>
      <w:lvlText w:val="•"/>
      <w:lvlJc w:val="left"/>
      <w:pPr>
        <w:tabs>
          <w:tab w:val="num" w:pos="4680"/>
        </w:tabs>
        <w:ind w:left="4680" w:hanging="360"/>
      </w:pPr>
      <w:rPr>
        <w:rFonts w:ascii="Arial" w:hAnsi="Arial" w:hint="default"/>
      </w:rPr>
    </w:lvl>
    <w:lvl w:ilvl="7" w:tplc="439E8C42" w:tentative="1">
      <w:start w:val="1"/>
      <w:numFmt w:val="bullet"/>
      <w:lvlText w:val="•"/>
      <w:lvlJc w:val="left"/>
      <w:pPr>
        <w:tabs>
          <w:tab w:val="num" w:pos="5400"/>
        </w:tabs>
        <w:ind w:left="5400" w:hanging="360"/>
      </w:pPr>
      <w:rPr>
        <w:rFonts w:ascii="Arial" w:hAnsi="Arial" w:hint="default"/>
      </w:rPr>
    </w:lvl>
    <w:lvl w:ilvl="8" w:tplc="20223B3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8053B20"/>
    <w:multiLevelType w:val="hybridMultilevel"/>
    <w:tmpl w:val="D8A6F0AC"/>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AEB51D2"/>
    <w:multiLevelType w:val="hybridMultilevel"/>
    <w:tmpl w:val="49606F90"/>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D01E80"/>
    <w:multiLevelType w:val="hybridMultilevel"/>
    <w:tmpl w:val="21D09EF2"/>
    <w:lvl w:ilvl="0" w:tplc="322E73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5B1ACD"/>
    <w:multiLevelType w:val="hybridMultilevel"/>
    <w:tmpl w:val="E5048D54"/>
    <w:lvl w:ilvl="0" w:tplc="48DC9432">
      <w:start w:val="2"/>
      <w:numFmt w:val="bullet"/>
      <w:lvlText w:val="-"/>
      <w:lvlJc w:val="left"/>
      <w:pPr>
        <w:tabs>
          <w:tab w:val="num" w:pos="360"/>
        </w:tabs>
        <w:ind w:left="360" w:hanging="360"/>
      </w:pPr>
      <w:rPr>
        <w:rFonts w:ascii="Calibri" w:eastAsiaTheme="minorEastAsia" w:hAnsi="Calibri" w:cs="Calibri" w:hint="default"/>
      </w:rPr>
    </w:lvl>
    <w:lvl w:ilvl="1" w:tplc="A8F8B624">
      <w:start w:val="1"/>
      <w:numFmt w:val="bullet"/>
      <w:lvlText w:val="•"/>
      <w:lvlJc w:val="left"/>
      <w:pPr>
        <w:tabs>
          <w:tab w:val="num" w:pos="1080"/>
        </w:tabs>
        <w:ind w:left="1080" w:hanging="360"/>
      </w:pPr>
      <w:rPr>
        <w:rFonts w:ascii="Arial" w:hAnsi="Arial" w:hint="default"/>
      </w:rPr>
    </w:lvl>
    <w:lvl w:ilvl="2" w:tplc="FE443726">
      <w:numFmt w:val="bullet"/>
      <w:lvlText w:val="•"/>
      <w:lvlJc w:val="left"/>
      <w:pPr>
        <w:tabs>
          <w:tab w:val="num" w:pos="1800"/>
        </w:tabs>
        <w:ind w:left="1800" w:hanging="360"/>
      </w:pPr>
      <w:rPr>
        <w:rFonts w:ascii="Microsoft Sans Serif" w:hAnsi="Microsoft Sans Serif" w:hint="default"/>
      </w:rPr>
    </w:lvl>
    <w:lvl w:ilvl="3" w:tplc="3B102DD0" w:tentative="1">
      <w:start w:val="1"/>
      <w:numFmt w:val="bullet"/>
      <w:lvlText w:val="•"/>
      <w:lvlJc w:val="left"/>
      <w:pPr>
        <w:tabs>
          <w:tab w:val="num" w:pos="2520"/>
        </w:tabs>
        <w:ind w:left="2520" w:hanging="360"/>
      </w:pPr>
      <w:rPr>
        <w:rFonts w:ascii="Arial" w:hAnsi="Arial" w:hint="default"/>
      </w:rPr>
    </w:lvl>
    <w:lvl w:ilvl="4" w:tplc="0348572C" w:tentative="1">
      <w:start w:val="1"/>
      <w:numFmt w:val="bullet"/>
      <w:lvlText w:val="•"/>
      <w:lvlJc w:val="left"/>
      <w:pPr>
        <w:tabs>
          <w:tab w:val="num" w:pos="3240"/>
        </w:tabs>
        <w:ind w:left="3240" w:hanging="360"/>
      </w:pPr>
      <w:rPr>
        <w:rFonts w:ascii="Arial" w:hAnsi="Arial" w:hint="default"/>
      </w:rPr>
    </w:lvl>
    <w:lvl w:ilvl="5" w:tplc="B986D124" w:tentative="1">
      <w:start w:val="1"/>
      <w:numFmt w:val="bullet"/>
      <w:lvlText w:val="•"/>
      <w:lvlJc w:val="left"/>
      <w:pPr>
        <w:tabs>
          <w:tab w:val="num" w:pos="3960"/>
        </w:tabs>
        <w:ind w:left="3960" w:hanging="360"/>
      </w:pPr>
      <w:rPr>
        <w:rFonts w:ascii="Arial" w:hAnsi="Arial" w:hint="default"/>
      </w:rPr>
    </w:lvl>
    <w:lvl w:ilvl="6" w:tplc="0CE060D6" w:tentative="1">
      <w:start w:val="1"/>
      <w:numFmt w:val="bullet"/>
      <w:lvlText w:val="•"/>
      <w:lvlJc w:val="left"/>
      <w:pPr>
        <w:tabs>
          <w:tab w:val="num" w:pos="4680"/>
        </w:tabs>
        <w:ind w:left="4680" w:hanging="360"/>
      </w:pPr>
      <w:rPr>
        <w:rFonts w:ascii="Arial" w:hAnsi="Arial" w:hint="default"/>
      </w:rPr>
    </w:lvl>
    <w:lvl w:ilvl="7" w:tplc="8DA67DDA" w:tentative="1">
      <w:start w:val="1"/>
      <w:numFmt w:val="bullet"/>
      <w:lvlText w:val="•"/>
      <w:lvlJc w:val="left"/>
      <w:pPr>
        <w:tabs>
          <w:tab w:val="num" w:pos="5400"/>
        </w:tabs>
        <w:ind w:left="5400" w:hanging="360"/>
      </w:pPr>
      <w:rPr>
        <w:rFonts w:ascii="Arial" w:hAnsi="Arial" w:hint="default"/>
      </w:rPr>
    </w:lvl>
    <w:lvl w:ilvl="8" w:tplc="96DCED1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50035D"/>
    <w:multiLevelType w:val="hybridMultilevel"/>
    <w:tmpl w:val="8B26C6F2"/>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1C1F94"/>
    <w:multiLevelType w:val="hybridMultilevel"/>
    <w:tmpl w:val="6B287BE0"/>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C67E63"/>
    <w:multiLevelType w:val="hybridMultilevel"/>
    <w:tmpl w:val="C68EDC76"/>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1D325D6"/>
    <w:multiLevelType w:val="hybridMultilevel"/>
    <w:tmpl w:val="858A9778"/>
    <w:lvl w:ilvl="0" w:tplc="4F7260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6C1380"/>
    <w:multiLevelType w:val="hybridMultilevel"/>
    <w:tmpl w:val="6E0E7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1F5CFE"/>
    <w:multiLevelType w:val="hybridMultilevel"/>
    <w:tmpl w:val="573CF4CE"/>
    <w:lvl w:ilvl="0" w:tplc="5388051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E20B76"/>
    <w:multiLevelType w:val="hybridMultilevel"/>
    <w:tmpl w:val="D160F1B2"/>
    <w:lvl w:ilvl="0" w:tplc="322E735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F3D141B"/>
    <w:multiLevelType w:val="hybridMultilevel"/>
    <w:tmpl w:val="3F24D13E"/>
    <w:lvl w:ilvl="0" w:tplc="48DC9432">
      <w:start w:val="2"/>
      <w:numFmt w:val="bullet"/>
      <w:lvlText w:val="-"/>
      <w:lvlJc w:val="left"/>
      <w:pPr>
        <w:tabs>
          <w:tab w:val="num" w:pos="720"/>
        </w:tabs>
        <w:ind w:left="720" w:hanging="360"/>
      </w:pPr>
      <w:rPr>
        <w:rFonts w:ascii="Calibri" w:eastAsiaTheme="minorEastAsia" w:hAnsi="Calibri" w:cs="Calibri" w:hint="default"/>
      </w:rPr>
    </w:lvl>
    <w:lvl w:ilvl="1" w:tplc="25708B36">
      <w:start w:val="1"/>
      <w:numFmt w:val="bullet"/>
      <w:lvlText w:val="◦"/>
      <w:lvlJc w:val="left"/>
      <w:pPr>
        <w:tabs>
          <w:tab w:val="num" w:pos="1440"/>
        </w:tabs>
        <w:ind w:left="1440" w:hanging="360"/>
      </w:pPr>
      <w:rPr>
        <w:rFonts w:ascii="Microsoft Sans Serif" w:hAnsi="Microsoft Sans Serif" w:hint="default"/>
      </w:rPr>
    </w:lvl>
    <w:lvl w:ilvl="2" w:tplc="3E887856">
      <w:start w:val="1"/>
      <w:numFmt w:val="bullet"/>
      <w:lvlText w:val="◦"/>
      <w:lvlJc w:val="left"/>
      <w:pPr>
        <w:tabs>
          <w:tab w:val="num" w:pos="2160"/>
        </w:tabs>
        <w:ind w:left="2160" w:hanging="360"/>
      </w:pPr>
      <w:rPr>
        <w:rFonts w:ascii="Microsoft Sans Serif" w:hAnsi="Microsoft Sans Serif" w:hint="default"/>
      </w:rPr>
    </w:lvl>
    <w:lvl w:ilvl="3" w:tplc="EC6686EE" w:tentative="1">
      <w:start w:val="1"/>
      <w:numFmt w:val="bullet"/>
      <w:lvlText w:val="◦"/>
      <w:lvlJc w:val="left"/>
      <w:pPr>
        <w:tabs>
          <w:tab w:val="num" w:pos="2880"/>
        </w:tabs>
        <w:ind w:left="2880" w:hanging="360"/>
      </w:pPr>
      <w:rPr>
        <w:rFonts w:ascii="Microsoft Sans Serif" w:hAnsi="Microsoft Sans Serif" w:hint="default"/>
      </w:rPr>
    </w:lvl>
    <w:lvl w:ilvl="4" w:tplc="F6DC0F70" w:tentative="1">
      <w:start w:val="1"/>
      <w:numFmt w:val="bullet"/>
      <w:lvlText w:val="◦"/>
      <w:lvlJc w:val="left"/>
      <w:pPr>
        <w:tabs>
          <w:tab w:val="num" w:pos="3600"/>
        </w:tabs>
        <w:ind w:left="3600" w:hanging="360"/>
      </w:pPr>
      <w:rPr>
        <w:rFonts w:ascii="Microsoft Sans Serif" w:hAnsi="Microsoft Sans Serif" w:hint="default"/>
      </w:rPr>
    </w:lvl>
    <w:lvl w:ilvl="5" w:tplc="A148D986" w:tentative="1">
      <w:start w:val="1"/>
      <w:numFmt w:val="bullet"/>
      <w:lvlText w:val="◦"/>
      <w:lvlJc w:val="left"/>
      <w:pPr>
        <w:tabs>
          <w:tab w:val="num" w:pos="4320"/>
        </w:tabs>
        <w:ind w:left="4320" w:hanging="360"/>
      </w:pPr>
      <w:rPr>
        <w:rFonts w:ascii="Microsoft Sans Serif" w:hAnsi="Microsoft Sans Serif" w:hint="default"/>
      </w:rPr>
    </w:lvl>
    <w:lvl w:ilvl="6" w:tplc="A3184198" w:tentative="1">
      <w:start w:val="1"/>
      <w:numFmt w:val="bullet"/>
      <w:lvlText w:val="◦"/>
      <w:lvlJc w:val="left"/>
      <w:pPr>
        <w:tabs>
          <w:tab w:val="num" w:pos="5040"/>
        </w:tabs>
        <w:ind w:left="5040" w:hanging="360"/>
      </w:pPr>
      <w:rPr>
        <w:rFonts w:ascii="Microsoft Sans Serif" w:hAnsi="Microsoft Sans Serif" w:hint="default"/>
      </w:rPr>
    </w:lvl>
    <w:lvl w:ilvl="7" w:tplc="E634E0BC" w:tentative="1">
      <w:start w:val="1"/>
      <w:numFmt w:val="bullet"/>
      <w:lvlText w:val="◦"/>
      <w:lvlJc w:val="left"/>
      <w:pPr>
        <w:tabs>
          <w:tab w:val="num" w:pos="5760"/>
        </w:tabs>
        <w:ind w:left="5760" w:hanging="360"/>
      </w:pPr>
      <w:rPr>
        <w:rFonts w:ascii="Microsoft Sans Serif" w:hAnsi="Microsoft Sans Serif" w:hint="default"/>
      </w:rPr>
    </w:lvl>
    <w:lvl w:ilvl="8" w:tplc="39CEE3DE"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5523784B"/>
    <w:multiLevelType w:val="hybridMultilevel"/>
    <w:tmpl w:val="61C08034"/>
    <w:lvl w:ilvl="0" w:tplc="48DC943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10285B"/>
    <w:multiLevelType w:val="hybridMultilevel"/>
    <w:tmpl w:val="8C924C7E"/>
    <w:lvl w:ilvl="0" w:tplc="48DC9432">
      <w:start w:val="2"/>
      <w:numFmt w:val="bullet"/>
      <w:lvlText w:val="-"/>
      <w:lvlJc w:val="left"/>
      <w:pPr>
        <w:tabs>
          <w:tab w:val="num" w:pos="720"/>
        </w:tabs>
        <w:ind w:left="720" w:hanging="360"/>
      </w:pPr>
      <w:rPr>
        <w:rFonts w:ascii="Calibri" w:eastAsiaTheme="minorEastAsia" w:hAnsi="Calibri" w:cs="Calibri" w:hint="default"/>
      </w:rPr>
    </w:lvl>
    <w:lvl w:ilvl="1" w:tplc="14D8EBF8" w:tentative="1">
      <w:start w:val="1"/>
      <w:numFmt w:val="bullet"/>
      <w:lvlText w:val="•"/>
      <w:lvlJc w:val="left"/>
      <w:pPr>
        <w:tabs>
          <w:tab w:val="num" w:pos="1440"/>
        </w:tabs>
        <w:ind w:left="1440" w:hanging="360"/>
      </w:pPr>
      <w:rPr>
        <w:rFonts w:ascii="Arial" w:hAnsi="Arial" w:hint="default"/>
      </w:rPr>
    </w:lvl>
    <w:lvl w:ilvl="2" w:tplc="3EF826CC" w:tentative="1">
      <w:start w:val="1"/>
      <w:numFmt w:val="bullet"/>
      <w:lvlText w:val="•"/>
      <w:lvlJc w:val="left"/>
      <w:pPr>
        <w:tabs>
          <w:tab w:val="num" w:pos="2160"/>
        </w:tabs>
        <w:ind w:left="2160" w:hanging="360"/>
      </w:pPr>
      <w:rPr>
        <w:rFonts w:ascii="Arial" w:hAnsi="Arial" w:hint="default"/>
      </w:rPr>
    </w:lvl>
    <w:lvl w:ilvl="3" w:tplc="D9CE5080" w:tentative="1">
      <w:start w:val="1"/>
      <w:numFmt w:val="bullet"/>
      <w:lvlText w:val="•"/>
      <w:lvlJc w:val="left"/>
      <w:pPr>
        <w:tabs>
          <w:tab w:val="num" w:pos="2880"/>
        </w:tabs>
        <w:ind w:left="2880" w:hanging="360"/>
      </w:pPr>
      <w:rPr>
        <w:rFonts w:ascii="Arial" w:hAnsi="Arial" w:hint="default"/>
      </w:rPr>
    </w:lvl>
    <w:lvl w:ilvl="4" w:tplc="CA744BF8" w:tentative="1">
      <w:start w:val="1"/>
      <w:numFmt w:val="bullet"/>
      <w:lvlText w:val="•"/>
      <w:lvlJc w:val="left"/>
      <w:pPr>
        <w:tabs>
          <w:tab w:val="num" w:pos="3600"/>
        </w:tabs>
        <w:ind w:left="3600" w:hanging="360"/>
      </w:pPr>
      <w:rPr>
        <w:rFonts w:ascii="Arial" w:hAnsi="Arial" w:hint="default"/>
      </w:rPr>
    </w:lvl>
    <w:lvl w:ilvl="5" w:tplc="CA4A18F6" w:tentative="1">
      <w:start w:val="1"/>
      <w:numFmt w:val="bullet"/>
      <w:lvlText w:val="•"/>
      <w:lvlJc w:val="left"/>
      <w:pPr>
        <w:tabs>
          <w:tab w:val="num" w:pos="4320"/>
        </w:tabs>
        <w:ind w:left="4320" w:hanging="360"/>
      </w:pPr>
      <w:rPr>
        <w:rFonts w:ascii="Arial" w:hAnsi="Arial" w:hint="default"/>
      </w:rPr>
    </w:lvl>
    <w:lvl w:ilvl="6" w:tplc="D61A42D0" w:tentative="1">
      <w:start w:val="1"/>
      <w:numFmt w:val="bullet"/>
      <w:lvlText w:val="•"/>
      <w:lvlJc w:val="left"/>
      <w:pPr>
        <w:tabs>
          <w:tab w:val="num" w:pos="5040"/>
        </w:tabs>
        <w:ind w:left="5040" w:hanging="360"/>
      </w:pPr>
      <w:rPr>
        <w:rFonts w:ascii="Arial" w:hAnsi="Arial" w:hint="default"/>
      </w:rPr>
    </w:lvl>
    <w:lvl w:ilvl="7" w:tplc="7B84E38C" w:tentative="1">
      <w:start w:val="1"/>
      <w:numFmt w:val="bullet"/>
      <w:lvlText w:val="•"/>
      <w:lvlJc w:val="left"/>
      <w:pPr>
        <w:tabs>
          <w:tab w:val="num" w:pos="5760"/>
        </w:tabs>
        <w:ind w:left="5760" w:hanging="360"/>
      </w:pPr>
      <w:rPr>
        <w:rFonts w:ascii="Arial" w:hAnsi="Arial" w:hint="default"/>
      </w:rPr>
    </w:lvl>
    <w:lvl w:ilvl="8" w:tplc="1B58745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0AC7993"/>
    <w:multiLevelType w:val="hybridMultilevel"/>
    <w:tmpl w:val="828236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8C065E"/>
    <w:multiLevelType w:val="hybridMultilevel"/>
    <w:tmpl w:val="07CEAFA6"/>
    <w:lvl w:ilvl="0" w:tplc="04090001">
      <w:start w:val="1"/>
      <w:numFmt w:val="bullet"/>
      <w:lvlText w:val=""/>
      <w:lvlJc w:val="left"/>
      <w:pPr>
        <w:tabs>
          <w:tab w:val="num" w:pos="360"/>
        </w:tabs>
        <w:ind w:left="360" w:hanging="360"/>
      </w:pPr>
      <w:rPr>
        <w:rFonts w:ascii="Symbol" w:hAnsi="Symbol" w:hint="default"/>
      </w:rPr>
    </w:lvl>
    <w:lvl w:ilvl="1" w:tplc="FBCAFEC0">
      <w:numFmt w:val="bullet"/>
      <w:lvlText w:val="◦"/>
      <w:lvlJc w:val="left"/>
      <w:pPr>
        <w:tabs>
          <w:tab w:val="num" w:pos="1080"/>
        </w:tabs>
        <w:ind w:left="1080" w:hanging="360"/>
      </w:pPr>
      <w:rPr>
        <w:rFonts w:ascii="Microsoft Sans Serif" w:hAnsi="Microsoft Sans Serif" w:hint="default"/>
      </w:rPr>
    </w:lvl>
    <w:lvl w:ilvl="2" w:tplc="B18242A6" w:tentative="1">
      <w:start w:val="1"/>
      <w:numFmt w:val="bullet"/>
      <w:lvlText w:val="•"/>
      <w:lvlJc w:val="left"/>
      <w:pPr>
        <w:tabs>
          <w:tab w:val="num" w:pos="1800"/>
        </w:tabs>
        <w:ind w:left="1800" w:hanging="360"/>
      </w:pPr>
      <w:rPr>
        <w:rFonts w:ascii="Arial" w:hAnsi="Arial" w:hint="default"/>
      </w:rPr>
    </w:lvl>
    <w:lvl w:ilvl="3" w:tplc="425C2C28" w:tentative="1">
      <w:start w:val="1"/>
      <w:numFmt w:val="bullet"/>
      <w:lvlText w:val="•"/>
      <w:lvlJc w:val="left"/>
      <w:pPr>
        <w:tabs>
          <w:tab w:val="num" w:pos="2520"/>
        </w:tabs>
        <w:ind w:left="2520" w:hanging="360"/>
      </w:pPr>
      <w:rPr>
        <w:rFonts w:ascii="Arial" w:hAnsi="Arial" w:hint="default"/>
      </w:rPr>
    </w:lvl>
    <w:lvl w:ilvl="4" w:tplc="83D89078" w:tentative="1">
      <w:start w:val="1"/>
      <w:numFmt w:val="bullet"/>
      <w:lvlText w:val="•"/>
      <w:lvlJc w:val="left"/>
      <w:pPr>
        <w:tabs>
          <w:tab w:val="num" w:pos="3240"/>
        </w:tabs>
        <w:ind w:left="3240" w:hanging="360"/>
      </w:pPr>
      <w:rPr>
        <w:rFonts w:ascii="Arial" w:hAnsi="Arial" w:hint="default"/>
      </w:rPr>
    </w:lvl>
    <w:lvl w:ilvl="5" w:tplc="D94CB4B8" w:tentative="1">
      <w:start w:val="1"/>
      <w:numFmt w:val="bullet"/>
      <w:lvlText w:val="•"/>
      <w:lvlJc w:val="left"/>
      <w:pPr>
        <w:tabs>
          <w:tab w:val="num" w:pos="3960"/>
        </w:tabs>
        <w:ind w:left="3960" w:hanging="360"/>
      </w:pPr>
      <w:rPr>
        <w:rFonts w:ascii="Arial" w:hAnsi="Arial" w:hint="default"/>
      </w:rPr>
    </w:lvl>
    <w:lvl w:ilvl="6" w:tplc="A5F42A94" w:tentative="1">
      <w:start w:val="1"/>
      <w:numFmt w:val="bullet"/>
      <w:lvlText w:val="•"/>
      <w:lvlJc w:val="left"/>
      <w:pPr>
        <w:tabs>
          <w:tab w:val="num" w:pos="4680"/>
        </w:tabs>
        <w:ind w:left="4680" w:hanging="360"/>
      </w:pPr>
      <w:rPr>
        <w:rFonts w:ascii="Arial" w:hAnsi="Arial" w:hint="default"/>
      </w:rPr>
    </w:lvl>
    <w:lvl w:ilvl="7" w:tplc="E62819D0" w:tentative="1">
      <w:start w:val="1"/>
      <w:numFmt w:val="bullet"/>
      <w:lvlText w:val="•"/>
      <w:lvlJc w:val="left"/>
      <w:pPr>
        <w:tabs>
          <w:tab w:val="num" w:pos="5400"/>
        </w:tabs>
        <w:ind w:left="5400" w:hanging="360"/>
      </w:pPr>
      <w:rPr>
        <w:rFonts w:ascii="Arial" w:hAnsi="Arial" w:hint="default"/>
      </w:rPr>
    </w:lvl>
    <w:lvl w:ilvl="8" w:tplc="BE7A0A00"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3CA7AF8"/>
    <w:multiLevelType w:val="hybridMultilevel"/>
    <w:tmpl w:val="BD62E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29386E"/>
    <w:multiLevelType w:val="hybridMultilevel"/>
    <w:tmpl w:val="18365304"/>
    <w:lvl w:ilvl="0" w:tplc="48DC9432">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682459D"/>
    <w:multiLevelType w:val="hybridMultilevel"/>
    <w:tmpl w:val="BEE6FE48"/>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AD7BFB"/>
    <w:multiLevelType w:val="hybridMultilevel"/>
    <w:tmpl w:val="7FCC240E"/>
    <w:lvl w:ilvl="0" w:tplc="C6E839B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0A1CC9"/>
    <w:multiLevelType w:val="hybridMultilevel"/>
    <w:tmpl w:val="438CA84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B835802"/>
    <w:multiLevelType w:val="hybridMultilevel"/>
    <w:tmpl w:val="04B012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DD26553"/>
    <w:multiLevelType w:val="multilevel"/>
    <w:tmpl w:val="6DD26553"/>
    <w:lvl w:ilvl="0">
      <w:start w:val="1"/>
      <w:numFmt w:val="decimal"/>
      <w:lvlText w:val="%1."/>
      <w:lvlJc w:val="left"/>
      <w:pPr>
        <w:ind w:left="360" w:hanging="360"/>
      </w:pPr>
      <w:rPr>
        <w:b/>
        <w:sz w:val="20"/>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42C1484"/>
    <w:multiLevelType w:val="hybridMultilevel"/>
    <w:tmpl w:val="98CC68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5" w15:restartNumberingAfterBreak="0">
    <w:nsid w:val="7CE47A9E"/>
    <w:multiLevelType w:val="hybridMultilevel"/>
    <w:tmpl w:val="60A28816"/>
    <w:lvl w:ilvl="0" w:tplc="322E7356">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36" w15:restartNumberingAfterBreak="0">
    <w:nsid w:val="7F7A3926"/>
    <w:multiLevelType w:val="hybridMultilevel"/>
    <w:tmpl w:val="30DCE1DC"/>
    <w:lvl w:ilvl="0" w:tplc="48DC9432">
      <w:start w:val="2"/>
      <w:numFmt w:val="bullet"/>
      <w:lvlText w:val="-"/>
      <w:lvlJc w:val="left"/>
      <w:pPr>
        <w:tabs>
          <w:tab w:val="num" w:pos="360"/>
        </w:tabs>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num>
  <w:num w:numId="3">
    <w:abstractNumId w:val="34"/>
  </w:num>
  <w:num w:numId="4">
    <w:abstractNumId w:val="26"/>
  </w:num>
  <w:num w:numId="5">
    <w:abstractNumId w:val="8"/>
  </w:num>
  <w:num w:numId="6">
    <w:abstractNumId w:val="3"/>
  </w:num>
  <w:num w:numId="7">
    <w:abstractNumId w:val="20"/>
  </w:num>
  <w:num w:numId="8">
    <w:abstractNumId w:val="17"/>
  </w:num>
  <w:num w:numId="9">
    <w:abstractNumId w:val="5"/>
  </w:num>
  <w:num w:numId="10">
    <w:abstractNumId w:val="24"/>
  </w:num>
  <w:num w:numId="11">
    <w:abstractNumId w:val="9"/>
  </w:num>
  <w:num w:numId="12">
    <w:abstractNumId w:val="16"/>
  </w:num>
  <w:num w:numId="13">
    <w:abstractNumId w:val="0"/>
  </w:num>
  <w:num w:numId="14">
    <w:abstractNumId w:val="28"/>
  </w:num>
  <w:num w:numId="15">
    <w:abstractNumId w:val="2"/>
  </w:num>
  <w:num w:numId="16">
    <w:abstractNumId w:val="22"/>
  </w:num>
  <w:num w:numId="17">
    <w:abstractNumId w:val="13"/>
  </w:num>
  <w:num w:numId="18">
    <w:abstractNumId w:val="27"/>
  </w:num>
  <w:num w:numId="19">
    <w:abstractNumId w:val="14"/>
  </w:num>
  <w:num w:numId="20">
    <w:abstractNumId w:val="1"/>
  </w:num>
  <w:num w:numId="21">
    <w:abstractNumId w:val="30"/>
  </w:num>
  <w:num w:numId="22">
    <w:abstractNumId w:val="29"/>
  </w:num>
  <w:num w:numId="23">
    <w:abstractNumId w:val="21"/>
  </w:num>
  <w:num w:numId="24">
    <w:abstractNumId w:val="19"/>
  </w:num>
  <w:num w:numId="25">
    <w:abstractNumId w:val="6"/>
  </w:num>
  <w:num w:numId="26">
    <w:abstractNumId w:val="25"/>
  </w:num>
  <w:num w:numId="27">
    <w:abstractNumId w:val="10"/>
  </w:num>
  <w:num w:numId="28">
    <w:abstractNumId w:val="36"/>
  </w:num>
  <w:num w:numId="29">
    <w:abstractNumId w:val="4"/>
  </w:num>
  <w:num w:numId="30">
    <w:abstractNumId w:val="11"/>
  </w:num>
  <w:num w:numId="31">
    <w:abstractNumId w:val="23"/>
  </w:num>
  <w:num w:numId="32">
    <w:abstractNumId w:val="18"/>
  </w:num>
  <w:num w:numId="33">
    <w:abstractNumId w:val="35"/>
  </w:num>
  <w:num w:numId="34">
    <w:abstractNumId w:val="15"/>
  </w:num>
  <w:num w:numId="35">
    <w:abstractNumId w:val="32"/>
  </w:num>
  <w:num w:numId="36">
    <w:abstractNumId w:val="31"/>
  </w:num>
  <w:num w:numId="3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activeWritingStyle w:appName="MSWord" w:lang="en-GB" w:vendorID="64" w:dllVersion="0" w:nlCheck="1" w:checkStyle="0"/>
  <w:activeWritingStyle w:appName="MSWord" w:lang="en-US" w:vendorID="64" w:dllVersion="0" w:nlCheck="1" w:checkStyle="0"/>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EAC"/>
    <w:rsid w:val="00007B6D"/>
    <w:rsid w:val="00013B20"/>
    <w:rsid w:val="00013C33"/>
    <w:rsid w:val="000142F6"/>
    <w:rsid w:val="000200FC"/>
    <w:rsid w:val="00024A3E"/>
    <w:rsid w:val="000331E7"/>
    <w:rsid w:val="00044AFF"/>
    <w:rsid w:val="00047275"/>
    <w:rsid w:val="0004766A"/>
    <w:rsid w:val="00050DEB"/>
    <w:rsid w:val="00053746"/>
    <w:rsid w:val="000557B8"/>
    <w:rsid w:val="000574A4"/>
    <w:rsid w:val="000621C1"/>
    <w:rsid w:val="000729EC"/>
    <w:rsid w:val="00074FD0"/>
    <w:rsid w:val="00076F6F"/>
    <w:rsid w:val="00077434"/>
    <w:rsid w:val="00083A9B"/>
    <w:rsid w:val="00084114"/>
    <w:rsid w:val="0008518B"/>
    <w:rsid w:val="00085AA8"/>
    <w:rsid w:val="00087C72"/>
    <w:rsid w:val="000952DC"/>
    <w:rsid w:val="000A4826"/>
    <w:rsid w:val="000A657E"/>
    <w:rsid w:val="000A7CCE"/>
    <w:rsid w:val="000B482E"/>
    <w:rsid w:val="000B5BE2"/>
    <w:rsid w:val="000B7D94"/>
    <w:rsid w:val="000C1B14"/>
    <w:rsid w:val="000D1557"/>
    <w:rsid w:val="000D3889"/>
    <w:rsid w:val="000D3EC1"/>
    <w:rsid w:val="000E0706"/>
    <w:rsid w:val="000E2209"/>
    <w:rsid w:val="000F50D7"/>
    <w:rsid w:val="000F65EE"/>
    <w:rsid w:val="001050AE"/>
    <w:rsid w:val="00106C9F"/>
    <w:rsid w:val="00111701"/>
    <w:rsid w:val="0011202B"/>
    <w:rsid w:val="00115503"/>
    <w:rsid w:val="00122A1C"/>
    <w:rsid w:val="0012597C"/>
    <w:rsid w:val="00131307"/>
    <w:rsid w:val="00131C46"/>
    <w:rsid w:val="00132FEA"/>
    <w:rsid w:val="00141159"/>
    <w:rsid w:val="00141606"/>
    <w:rsid w:val="001479C1"/>
    <w:rsid w:val="00152200"/>
    <w:rsid w:val="00152F18"/>
    <w:rsid w:val="001632E3"/>
    <w:rsid w:val="00167815"/>
    <w:rsid w:val="00175120"/>
    <w:rsid w:val="00184038"/>
    <w:rsid w:val="00192C21"/>
    <w:rsid w:val="00193028"/>
    <w:rsid w:val="001A0374"/>
    <w:rsid w:val="001A4207"/>
    <w:rsid w:val="001A5C73"/>
    <w:rsid w:val="001B243F"/>
    <w:rsid w:val="001C0674"/>
    <w:rsid w:val="001C3AED"/>
    <w:rsid w:val="001D5617"/>
    <w:rsid w:val="001E3173"/>
    <w:rsid w:val="001E4714"/>
    <w:rsid w:val="001E7ACC"/>
    <w:rsid w:val="00201C93"/>
    <w:rsid w:val="002145BA"/>
    <w:rsid w:val="00214BAD"/>
    <w:rsid w:val="00215133"/>
    <w:rsid w:val="00217274"/>
    <w:rsid w:val="0022026D"/>
    <w:rsid w:val="002208A7"/>
    <w:rsid w:val="00221B24"/>
    <w:rsid w:val="00221EA3"/>
    <w:rsid w:val="00222CF1"/>
    <w:rsid w:val="00225710"/>
    <w:rsid w:val="002257EE"/>
    <w:rsid w:val="002314EA"/>
    <w:rsid w:val="00233BA2"/>
    <w:rsid w:val="002349E6"/>
    <w:rsid w:val="002351A0"/>
    <w:rsid w:val="00237B7F"/>
    <w:rsid w:val="00240EFB"/>
    <w:rsid w:val="0024577D"/>
    <w:rsid w:val="00254154"/>
    <w:rsid w:val="00255134"/>
    <w:rsid w:val="00257ED9"/>
    <w:rsid w:val="00263EEE"/>
    <w:rsid w:val="002661A0"/>
    <w:rsid w:val="002665D7"/>
    <w:rsid w:val="00267B52"/>
    <w:rsid w:val="0027025B"/>
    <w:rsid w:val="002706B5"/>
    <w:rsid w:val="00270D09"/>
    <w:rsid w:val="00274E14"/>
    <w:rsid w:val="00275CA4"/>
    <w:rsid w:val="0027710A"/>
    <w:rsid w:val="00281957"/>
    <w:rsid w:val="002832C2"/>
    <w:rsid w:val="0028666A"/>
    <w:rsid w:val="00292489"/>
    <w:rsid w:val="00292740"/>
    <w:rsid w:val="0029339C"/>
    <w:rsid w:val="002A03A3"/>
    <w:rsid w:val="002A4F5D"/>
    <w:rsid w:val="002A689D"/>
    <w:rsid w:val="002A6F13"/>
    <w:rsid w:val="002B1079"/>
    <w:rsid w:val="002B1728"/>
    <w:rsid w:val="002B4616"/>
    <w:rsid w:val="002B4EC6"/>
    <w:rsid w:val="002C53D8"/>
    <w:rsid w:val="002C70B3"/>
    <w:rsid w:val="002D1594"/>
    <w:rsid w:val="002D444E"/>
    <w:rsid w:val="002D44EA"/>
    <w:rsid w:val="002E7E1E"/>
    <w:rsid w:val="002F0F57"/>
    <w:rsid w:val="002F1808"/>
    <w:rsid w:val="002F2F8E"/>
    <w:rsid w:val="00310FD8"/>
    <w:rsid w:val="00311061"/>
    <w:rsid w:val="00314A05"/>
    <w:rsid w:val="00320A5A"/>
    <w:rsid w:val="003424FC"/>
    <w:rsid w:val="00342EB8"/>
    <w:rsid w:val="00344AEC"/>
    <w:rsid w:val="00346C5C"/>
    <w:rsid w:val="00351C6C"/>
    <w:rsid w:val="003568AC"/>
    <w:rsid w:val="00362814"/>
    <w:rsid w:val="00371004"/>
    <w:rsid w:val="00372D0F"/>
    <w:rsid w:val="00385C12"/>
    <w:rsid w:val="00394956"/>
    <w:rsid w:val="003A33BD"/>
    <w:rsid w:val="003A6CBF"/>
    <w:rsid w:val="003A7171"/>
    <w:rsid w:val="003B0187"/>
    <w:rsid w:val="003B0F09"/>
    <w:rsid w:val="003B6C1F"/>
    <w:rsid w:val="003B7919"/>
    <w:rsid w:val="003C129D"/>
    <w:rsid w:val="003C3BFC"/>
    <w:rsid w:val="003D0FED"/>
    <w:rsid w:val="003E2411"/>
    <w:rsid w:val="003E2F25"/>
    <w:rsid w:val="003E36C9"/>
    <w:rsid w:val="003F5E6B"/>
    <w:rsid w:val="003F642D"/>
    <w:rsid w:val="003F7BA1"/>
    <w:rsid w:val="003F7F51"/>
    <w:rsid w:val="00402E59"/>
    <w:rsid w:val="00403FDB"/>
    <w:rsid w:val="0041035F"/>
    <w:rsid w:val="00412915"/>
    <w:rsid w:val="00414090"/>
    <w:rsid w:val="00414435"/>
    <w:rsid w:val="004151A0"/>
    <w:rsid w:val="00415A3B"/>
    <w:rsid w:val="00415D97"/>
    <w:rsid w:val="0042277C"/>
    <w:rsid w:val="00422CFF"/>
    <w:rsid w:val="004301FF"/>
    <w:rsid w:val="00431888"/>
    <w:rsid w:val="00432329"/>
    <w:rsid w:val="0043366F"/>
    <w:rsid w:val="0044100D"/>
    <w:rsid w:val="004415E1"/>
    <w:rsid w:val="00441789"/>
    <w:rsid w:val="00446E8A"/>
    <w:rsid w:val="0044799D"/>
    <w:rsid w:val="00451D9F"/>
    <w:rsid w:val="0045214C"/>
    <w:rsid w:val="00453FD5"/>
    <w:rsid w:val="004713DD"/>
    <w:rsid w:val="00474AF4"/>
    <w:rsid w:val="004750C4"/>
    <w:rsid w:val="00477686"/>
    <w:rsid w:val="00484708"/>
    <w:rsid w:val="00490E0D"/>
    <w:rsid w:val="00494BA0"/>
    <w:rsid w:val="00496D28"/>
    <w:rsid w:val="004A239B"/>
    <w:rsid w:val="004A6938"/>
    <w:rsid w:val="004A70EE"/>
    <w:rsid w:val="004B085E"/>
    <w:rsid w:val="004B21D8"/>
    <w:rsid w:val="004B3650"/>
    <w:rsid w:val="004B4705"/>
    <w:rsid w:val="004C1E55"/>
    <w:rsid w:val="004D1871"/>
    <w:rsid w:val="004D1EBF"/>
    <w:rsid w:val="004D3D3F"/>
    <w:rsid w:val="004D5882"/>
    <w:rsid w:val="004E5E6A"/>
    <w:rsid w:val="004E6141"/>
    <w:rsid w:val="004E79F0"/>
    <w:rsid w:val="004F4239"/>
    <w:rsid w:val="004F4BF6"/>
    <w:rsid w:val="004F51D1"/>
    <w:rsid w:val="00500536"/>
    <w:rsid w:val="00501AAC"/>
    <w:rsid w:val="0050376D"/>
    <w:rsid w:val="005119FF"/>
    <w:rsid w:val="00511EAC"/>
    <w:rsid w:val="00515823"/>
    <w:rsid w:val="005235F9"/>
    <w:rsid w:val="00523CDE"/>
    <w:rsid w:val="0052442B"/>
    <w:rsid w:val="00526898"/>
    <w:rsid w:val="00532388"/>
    <w:rsid w:val="005328F7"/>
    <w:rsid w:val="00532A09"/>
    <w:rsid w:val="00534608"/>
    <w:rsid w:val="005358D4"/>
    <w:rsid w:val="00535D92"/>
    <w:rsid w:val="00541C46"/>
    <w:rsid w:val="00544347"/>
    <w:rsid w:val="005443B7"/>
    <w:rsid w:val="00546D87"/>
    <w:rsid w:val="005506F0"/>
    <w:rsid w:val="0055272A"/>
    <w:rsid w:val="00557397"/>
    <w:rsid w:val="005603E9"/>
    <w:rsid w:val="00560E90"/>
    <w:rsid w:val="005666E5"/>
    <w:rsid w:val="005767B5"/>
    <w:rsid w:val="00581FD9"/>
    <w:rsid w:val="005868A5"/>
    <w:rsid w:val="0059288F"/>
    <w:rsid w:val="00594203"/>
    <w:rsid w:val="005A01BD"/>
    <w:rsid w:val="005A2ED9"/>
    <w:rsid w:val="005A2F39"/>
    <w:rsid w:val="005A62B1"/>
    <w:rsid w:val="005A6C5B"/>
    <w:rsid w:val="005B1F0C"/>
    <w:rsid w:val="005B2CF7"/>
    <w:rsid w:val="005B2FBA"/>
    <w:rsid w:val="005B585C"/>
    <w:rsid w:val="005B619E"/>
    <w:rsid w:val="005C020A"/>
    <w:rsid w:val="005C2E29"/>
    <w:rsid w:val="005C56FA"/>
    <w:rsid w:val="005C7A37"/>
    <w:rsid w:val="005C7D1B"/>
    <w:rsid w:val="005D5E48"/>
    <w:rsid w:val="005D6344"/>
    <w:rsid w:val="005D6D0F"/>
    <w:rsid w:val="005D789A"/>
    <w:rsid w:val="005E3769"/>
    <w:rsid w:val="005F0157"/>
    <w:rsid w:val="005F4F38"/>
    <w:rsid w:val="005F5FA1"/>
    <w:rsid w:val="005F7080"/>
    <w:rsid w:val="00605B49"/>
    <w:rsid w:val="00607ECC"/>
    <w:rsid w:val="0061252A"/>
    <w:rsid w:val="00614821"/>
    <w:rsid w:val="00626721"/>
    <w:rsid w:val="00630470"/>
    <w:rsid w:val="00642E69"/>
    <w:rsid w:val="006435F1"/>
    <w:rsid w:val="00645A16"/>
    <w:rsid w:val="006463E5"/>
    <w:rsid w:val="006502A4"/>
    <w:rsid w:val="006505D2"/>
    <w:rsid w:val="00652213"/>
    <w:rsid w:val="00652637"/>
    <w:rsid w:val="006527DE"/>
    <w:rsid w:val="0066284A"/>
    <w:rsid w:val="00667D51"/>
    <w:rsid w:val="00680C36"/>
    <w:rsid w:val="00681845"/>
    <w:rsid w:val="00682514"/>
    <w:rsid w:val="00682FB5"/>
    <w:rsid w:val="00683917"/>
    <w:rsid w:val="0069086B"/>
    <w:rsid w:val="00691CC8"/>
    <w:rsid w:val="00691FD8"/>
    <w:rsid w:val="00693079"/>
    <w:rsid w:val="00694482"/>
    <w:rsid w:val="006A02C1"/>
    <w:rsid w:val="006A3724"/>
    <w:rsid w:val="006A6664"/>
    <w:rsid w:val="006A7B67"/>
    <w:rsid w:val="006B22CD"/>
    <w:rsid w:val="006B2E83"/>
    <w:rsid w:val="006B7978"/>
    <w:rsid w:val="006C2328"/>
    <w:rsid w:val="006C47C0"/>
    <w:rsid w:val="006C493A"/>
    <w:rsid w:val="006C5B54"/>
    <w:rsid w:val="006D1B64"/>
    <w:rsid w:val="006D2521"/>
    <w:rsid w:val="006D34A0"/>
    <w:rsid w:val="006D5D2E"/>
    <w:rsid w:val="006E08F6"/>
    <w:rsid w:val="006E1BB1"/>
    <w:rsid w:val="006E1D07"/>
    <w:rsid w:val="006E3B16"/>
    <w:rsid w:val="006E52F1"/>
    <w:rsid w:val="006E5B38"/>
    <w:rsid w:val="006F55F7"/>
    <w:rsid w:val="00701F1D"/>
    <w:rsid w:val="00706194"/>
    <w:rsid w:val="00711724"/>
    <w:rsid w:val="00712C96"/>
    <w:rsid w:val="007144BE"/>
    <w:rsid w:val="00716DF0"/>
    <w:rsid w:val="007223E6"/>
    <w:rsid w:val="00726195"/>
    <w:rsid w:val="00726DFD"/>
    <w:rsid w:val="0072747A"/>
    <w:rsid w:val="00731D1A"/>
    <w:rsid w:val="00735296"/>
    <w:rsid w:val="007458D9"/>
    <w:rsid w:val="00752CF6"/>
    <w:rsid w:val="0075390D"/>
    <w:rsid w:val="00756C5D"/>
    <w:rsid w:val="00761B22"/>
    <w:rsid w:val="00763398"/>
    <w:rsid w:val="00763D8A"/>
    <w:rsid w:val="00763F22"/>
    <w:rsid w:val="0076406C"/>
    <w:rsid w:val="0076589E"/>
    <w:rsid w:val="00773BE3"/>
    <w:rsid w:val="007874EB"/>
    <w:rsid w:val="00793FA3"/>
    <w:rsid w:val="00795F98"/>
    <w:rsid w:val="007A1AF7"/>
    <w:rsid w:val="007A2FD2"/>
    <w:rsid w:val="007B12BC"/>
    <w:rsid w:val="007D4247"/>
    <w:rsid w:val="007D57E3"/>
    <w:rsid w:val="007D5EA6"/>
    <w:rsid w:val="007E010C"/>
    <w:rsid w:val="007F574F"/>
    <w:rsid w:val="00801FB5"/>
    <w:rsid w:val="0080235B"/>
    <w:rsid w:val="0080415F"/>
    <w:rsid w:val="008051F8"/>
    <w:rsid w:val="00806EAC"/>
    <w:rsid w:val="008109D1"/>
    <w:rsid w:val="00821BB4"/>
    <w:rsid w:val="00822C55"/>
    <w:rsid w:val="008254F8"/>
    <w:rsid w:val="008321FA"/>
    <w:rsid w:val="00841F03"/>
    <w:rsid w:val="00856866"/>
    <w:rsid w:val="00857943"/>
    <w:rsid w:val="00860A73"/>
    <w:rsid w:val="00862525"/>
    <w:rsid w:val="0086530D"/>
    <w:rsid w:val="00865F74"/>
    <w:rsid w:val="00867537"/>
    <w:rsid w:val="00873665"/>
    <w:rsid w:val="00875592"/>
    <w:rsid w:val="00880F5D"/>
    <w:rsid w:val="00882466"/>
    <w:rsid w:val="0088470A"/>
    <w:rsid w:val="00890BC6"/>
    <w:rsid w:val="00891261"/>
    <w:rsid w:val="00893454"/>
    <w:rsid w:val="00896AC9"/>
    <w:rsid w:val="00897207"/>
    <w:rsid w:val="008A0CA6"/>
    <w:rsid w:val="008A17F1"/>
    <w:rsid w:val="008A2B55"/>
    <w:rsid w:val="008A59E9"/>
    <w:rsid w:val="008B1B06"/>
    <w:rsid w:val="008B54CB"/>
    <w:rsid w:val="008B67D2"/>
    <w:rsid w:val="008B6C57"/>
    <w:rsid w:val="008B71BC"/>
    <w:rsid w:val="008C02B5"/>
    <w:rsid w:val="008C1E35"/>
    <w:rsid w:val="008C5331"/>
    <w:rsid w:val="008D629D"/>
    <w:rsid w:val="008E126F"/>
    <w:rsid w:val="008E333E"/>
    <w:rsid w:val="008F24B1"/>
    <w:rsid w:val="008F26AA"/>
    <w:rsid w:val="008F2768"/>
    <w:rsid w:val="008F7101"/>
    <w:rsid w:val="008F7E90"/>
    <w:rsid w:val="009064A7"/>
    <w:rsid w:val="00907846"/>
    <w:rsid w:val="00921746"/>
    <w:rsid w:val="0093245F"/>
    <w:rsid w:val="00937091"/>
    <w:rsid w:val="00942324"/>
    <w:rsid w:val="00942593"/>
    <w:rsid w:val="00944145"/>
    <w:rsid w:val="00945502"/>
    <w:rsid w:val="00947B92"/>
    <w:rsid w:val="00950F6F"/>
    <w:rsid w:val="00951CAB"/>
    <w:rsid w:val="00955D88"/>
    <w:rsid w:val="00963D7D"/>
    <w:rsid w:val="009648F7"/>
    <w:rsid w:val="00971EDC"/>
    <w:rsid w:val="009735A9"/>
    <w:rsid w:val="009739A5"/>
    <w:rsid w:val="0097408A"/>
    <w:rsid w:val="00976905"/>
    <w:rsid w:val="00977181"/>
    <w:rsid w:val="0098069C"/>
    <w:rsid w:val="0098286A"/>
    <w:rsid w:val="00991F05"/>
    <w:rsid w:val="0099624F"/>
    <w:rsid w:val="009A3624"/>
    <w:rsid w:val="009A66F9"/>
    <w:rsid w:val="009A76B8"/>
    <w:rsid w:val="009B5DA9"/>
    <w:rsid w:val="009C1B86"/>
    <w:rsid w:val="009C333D"/>
    <w:rsid w:val="009D3347"/>
    <w:rsid w:val="009D4796"/>
    <w:rsid w:val="009D5D51"/>
    <w:rsid w:val="009E1DB0"/>
    <w:rsid w:val="009E1DD9"/>
    <w:rsid w:val="009F56C2"/>
    <w:rsid w:val="00A0267F"/>
    <w:rsid w:val="00A03A17"/>
    <w:rsid w:val="00A0430E"/>
    <w:rsid w:val="00A072E6"/>
    <w:rsid w:val="00A11C09"/>
    <w:rsid w:val="00A123EA"/>
    <w:rsid w:val="00A12459"/>
    <w:rsid w:val="00A12CC0"/>
    <w:rsid w:val="00A12FD1"/>
    <w:rsid w:val="00A14D6C"/>
    <w:rsid w:val="00A159E4"/>
    <w:rsid w:val="00A20A0E"/>
    <w:rsid w:val="00A242C1"/>
    <w:rsid w:val="00A245F7"/>
    <w:rsid w:val="00A26D08"/>
    <w:rsid w:val="00A31C9B"/>
    <w:rsid w:val="00A3298C"/>
    <w:rsid w:val="00A368D1"/>
    <w:rsid w:val="00A37176"/>
    <w:rsid w:val="00A42AF8"/>
    <w:rsid w:val="00A43992"/>
    <w:rsid w:val="00A47409"/>
    <w:rsid w:val="00A524EE"/>
    <w:rsid w:val="00A56066"/>
    <w:rsid w:val="00A57DD3"/>
    <w:rsid w:val="00A678AF"/>
    <w:rsid w:val="00A868E9"/>
    <w:rsid w:val="00A86A9F"/>
    <w:rsid w:val="00A873C4"/>
    <w:rsid w:val="00A87D42"/>
    <w:rsid w:val="00A95747"/>
    <w:rsid w:val="00A9671D"/>
    <w:rsid w:val="00A976AC"/>
    <w:rsid w:val="00A97C3A"/>
    <w:rsid w:val="00AA0C63"/>
    <w:rsid w:val="00AA1745"/>
    <w:rsid w:val="00AA1ADD"/>
    <w:rsid w:val="00AA1F6B"/>
    <w:rsid w:val="00AA42A1"/>
    <w:rsid w:val="00AA76C2"/>
    <w:rsid w:val="00AB1C08"/>
    <w:rsid w:val="00AB2AEB"/>
    <w:rsid w:val="00AC17FA"/>
    <w:rsid w:val="00AC2CCB"/>
    <w:rsid w:val="00AC2F9A"/>
    <w:rsid w:val="00AD2177"/>
    <w:rsid w:val="00AE1AAC"/>
    <w:rsid w:val="00AE1CB2"/>
    <w:rsid w:val="00AE1D96"/>
    <w:rsid w:val="00AE24D7"/>
    <w:rsid w:val="00AE3D9D"/>
    <w:rsid w:val="00AE7BAA"/>
    <w:rsid w:val="00AF0340"/>
    <w:rsid w:val="00AF0EE4"/>
    <w:rsid w:val="00AF202E"/>
    <w:rsid w:val="00AF3348"/>
    <w:rsid w:val="00AF543F"/>
    <w:rsid w:val="00B03A61"/>
    <w:rsid w:val="00B06CE5"/>
    <w:rsid w:val="00B107DA"/>
    <w:rsid w:val="00B1290D"/>
    <w:rsid w:val="00B171E8"/>
    <w:rsid w:val="00B17257"/>
    <w:rsid w:val="00B21C95"/>
    <w:rsid w:val="00B221C3"/>
    <w:rsid w:val="00B30F80"/>
    <w:rsid w:val="00B335EB"/>
    <w:rsid w:val="00B36CA2"/>
    <w:rsid w:val="00B45C1C"/>
    <w:rsid w:val="00B46752"/>
    <w:rsid w:val="00B471B0"/>
    <w:rsid w:val="00B573B1"/>
    <w:rsid w:val="00B63950"/>
    <w:rsid w:val="00B65785"/>
    <w:rsid w:val="00B65D5F"/>
    <w:rsid w:val="00B667D9"/>
    <w:rsid w:val="00B71019"/>
    <w:rsid w:val="00B826AF"/>
    <w:rsid w:val="00B84D78"/>
    <w:rsid w:val="00B87ACC"/>
    <w:rsid w:val="00B96B92"/>
    <w:rsid w:val="00B96ED9"/>
    <w:rsid w:val="00B978CA"/>
    <w:rsid w:val="00BA3075"/>
    <w:rsid w:val="00BA3A32"/>
    <w:rsid w:val="00BA7C88"/>
    <w:rsid w:val="00BB3B79"/>
    <w:rsid w:val="00BB45E1"/>
    <w:rsid w:val="00BB53E6"/>
    <w:rsid w:val="00BB5CF3"/>
    <w:rsid w:val="00BB7D60"/>
    <w:rsid w:val="00BC1CF4"/>
    <w:rsid w:val="00BC512C"/>
    <w:rsid w:val="00BC609E"/>
    <w:rsid w:val="00BC674D"/>
    <w:rsid w:val="00BC7C88"/>
    <w:rsid w:val="00BD62C8"/>
    <w:rsid w:val="00BE39D0"/>
    <w:rsid w:val="00BF00DF"/>
    <w:rsid w:val="00BF03F6"/>
    <w:rsid w:val="00BF1D96"/>
    <w:rsid w:val="00BF52A9"/>
    <w:rsid w:val="00C03071"/>
    <w:rsid w:val="00C0346D"/>
    <w:rsid w:val="00C05223"/>
    <w:rsid w:val="00C10D52"/>
    <w:rsid w:val="00C11C98"/>
    <w:rsid w:val="00C14192"/>
    <w:rsid w:val="00C149EE"/>
    <w:rsid w:val="00C15809"/>
    <w:rsid w:val="00C1697B"/>
    <w:rsid w:val="00C2056B"/>
    <w:rsid w:val="00C229D6"/>
    <w:rsid w:val="00C23008"/>
    <w:rsid w:val="00C251DE"/>
    <w:rsid w:val="00C26FFF"/>
    <w:rsid w:val="00C31387"/>
    <w:rsid w:val="00C3686F"/>
    <w:rsid w:val="00C407F0"/>
    <w:rsid w:val="00C420DC"/>
    <w:rsid w:val="00C4323D"/>
    <w:rsid w:val="00C476A7"/>
    <w:rsid w:val="00C479F1"/>
    <w:rsid w:val="00C50A14"/>
    <w:rsid w:val="00C51418"/>
    <w:rsid w:val="00C5493B"/>
    <w:rsid w:val="00C57DBD"/>
    <w:rsid w:val="00C6434E"/>
    <w:rsid w:val="00C671F1"/>
    <w:rsid w:val="00C70152"/>
    <w:rsid w:val="00C712E0"/>
    <w:rsid w:val="00C72807"/>
    <w:rsid w:val="00C776A0"/>
    <w:rsid w:val="00C77FF5"/>
    <w:rsid w:val="00C851E9"/>
    <w:rsid w:val="00C86A6D"/>
    <w:rsid w:val="00C86B2A"/>
    <w:rsid w:val="00C92ABA"/>
    <w:rsid w:val="00C93390"/>
    <w:rsid w:val="00C962E2"/>
    <w:rsid w:val="00C96332"/>
    <w:rsid w:val="00CA142A"/>
    <w:rsid w:val="00CA672C"/>
    <w:rsid w:val="00CA6DCA"/>
    <w:rsid w:val="00CB0267"/>
    <w:rsid w:val="00CD043F"/>
    <w:rsid w:val="00CD131B"/>
    <w:rsid w:val="00CD47B0"/>
    <w:rsid w:val="00CE004F"/>
    <w:rsid w:val="00CE0EAD"/>
    <w:rsid w:val="00CE2DFE"/>
    <w:rsid w:val="00CF1965"/>
    <w:rsid w:val="00CF6132"/>
    <w:rsid w:val="00D04234"/>
    <w:rsid w:val="00D054D3"/>
    <w:rsid w:val="00D14BA0"/>
    <w:rsid w:val="00D15DDC"/>
    <w:rsid w:val="00D20C41"/>
    <w:rsid w:val="00D27F7B"/>
    <w:rsid w:val="00D37BAC"/>
    <w:rsid w:val="00D4379C"/>
    <w:rsid w:val="00D43A83"/>
    <w:rsid w:val="00D44127"/>
    <w:rsid w:val="00D4641B"/>
    <w:rsid w:val="00D509CC"/>
    <w:rsid w:val="00D5640D"/>
    <w:rsid w:val="00D573F6"/>
    <w:rsid w:val="00D63E7A"/>
    <w:rsid w:val="00D6464E"/>
    <w:rsid w:val="00D72A67"/>
    <w:rsid w:val="00D7474E"/>
    <w:rsid w:val="00D749F7"/>
    <w:rsid w:val="00D76015"/>
    <w:rsid w:val="00D81254"/>
    <w:rsid w:val="00D8196C"/>
    <w:rsid w:val="00D852DD"/>
    <w:rsid w:val="00D857AF"/>
    <w:rsid w:val="00D867A9"/>
    <w:rsid w:val="00D94180"/>
    <w:rsid w:val="00D94FBE"/>
    <w:rsid w:val="00D95372"/>
    <w:rsid w:val="00DA0D36"/>
    <w:rsid w:val="00DA1B21"/>
    <w:rsid w:val="00DA2408"/>
    <w:rsid w:val="00DA6909"/>
    <w:rsid w:val="00DB0E92"/>
    <w:rsid w:val="00DB48E5"/>
    <w:rsid w:val="00DB57D5"/>
    <w:rsid w:val="00DC100C"/>
    <w:rsid w:val="00DC1398"/>
    <w:rsid w:val="00DC3FAC"/>
    <w:rsid w:val="00DD09D5"/>
    <w:rsid w:val="00DD5916"/>
    <w:rsid w:val="00DE026F"/>
    <w:rsid w:val="00DE1306"/>
    <w:rsid w:val="00DE2C70"/>
    <w:rsid w:val="00DE5B12"/>
    <w:rsid w:val="00E02BFF"/>
    <w:rsid w:val="00E03EA0"/>
    <w:rsid w:val="00E04996"/>
    <w:rsid w:val="00E07575"/>
    <w:rsid w:val="00E0766F"/>
    <w:rsid w:val="00E0790C"/>
    <w:rsid w:val="00E1502E"/>
    <w:rsid w:val="00E1628F"/>
    <w:rsid w:val="00E25086"/>
    <w:rsid w:val="00E3795C"/>
    <w:rsid w:val="00E37C3C"/>
    <w:rsid w:val="00E40E83"/>
    <w:rsid w:val="00E4276F"/>
    <w:rsid w:val="00E434C8"/>
    <w:rsid w:val="00E43DA4"/>
    <w:rsid w:val="00E5606D"/>
    <w:rsid w:val="00E561BF"/>
    <w:rsid w:val="00E67373"/>
    <w:rsid w:val="00E676C3"/>
    <w:rsid w:val="00E7187A"/>
    <w:rsid w:val="00E72209"/>
    <w:rsid w:val="00E757D7"/>
    <w:rsid w:val="00E76615"/>
    <w:rsid w:val="00E8137B"/>
    <w:rsid w:val="00E83CE9"/>
    <w:rsid w:val="00E856B6"/>
    <w:rsid w:val="00E91B5F"/>
    <w:rsid w:val="00E91F25"/>
    <w:rsid w:val="00E95B56"/>
    <w:rsid w:val="00EA185B"/>
    <w:rsid w:val="00EA5163"/>
    <w:rsid w:val="00EB0575"/>
    <w:rsid w:val="00EB0CFC"/>
    <w:rsid w:val="00EB3300"/>
    <w:rsid w:val="00EB632D"/>
    <w:rsid w:val="00EB6E4C"/>
    <w:rsid w:val="00EC15DC"/>
    <w:rsid w:val="00EC2508"/>
    <w:rsid w:val="00EC5FC3"/>
    <w:rsid w:val="00EC6C54"/>
    <w:rsid w:val="00ED2B30"/>
    <w:rsid w:val="00EF4B54"/>
    <w:rsid w:val="00F001F4"/>
    <w:rsid w:val="00F01CE3"/>
    <w:rsid w:val="00F022B7"/>
    <w:rsid w:val="00F05427"/>
    <w:rsid w:val="00F103E3"/>
    <w:rsid w:val="00F12427"/>
    <w:rsid w:val="00F12DD4"/>
    <w:rsid w:val="00F23B6C"/>
    <w:rsid w:val="00F250E7"/>
    <w:rsid w:val="00F26D4F"/>
    <w:rsid w:val="00F30A86"/>
    <w:rsid w:val="00F33CF5"/>
    <w:rsid w:val="00F36C4E"/>
    <w:rsid w:val="00F410D4"/>
    <w:rsid w:val="00F432A8"/>
    <w:rsid w:val="00F4475B"/>
    <w:rsid w:val="00F45BE4"/>
    <w:rsid w:val="00F51896"/>
    <w:rsid w:val="00F5302C"/>
    <w:rsid w:val="00F55CC3"/>
    <w:rsid w:val="00F618CC"/>
    <w:rsid w:val="00F634F5"/>
    <w:rsid w:val="00F65A99"/>
    <w:rsid w:val="00F747AD"/>
    <w:rsid w:val="00F74B09"/>
    <w:rsid w:val="00F801B5"/>
    <w:rsid w:val="00F861BC"/>
    <w:rsid w:val="00F93282"/>
    <w:rsid w:val="00F95AC3"/>
    <w:rsid w:val="00FA3CDF"/>
    <w:rsid w:val="00FB3159"/>
    <w:rsid w:val="00FC4667"/>
    <w:rsid w:val="00FD1CF2"/>
    <w:rsid w:val="00FD4C37"/>
    <w:rsid w:val="00FD69B5"/>
    <w:rsid w:val="00FD7414"/>
    <w:rsid w:val="00FE034A"/>
    <w:rsid w:val="00FE66A2"/>
    <w:rsid w:val="00FF33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41B79"/>
  <w15:chartTrackingRefBased/>
  <w15:docId w15:val="{2C13F54D-D007-4646-B39F-029AB3F96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0E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AF0E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F0EE4"/>
    <w:pPr>
      <w:pBdr>
        <w:top w:val="none" w:sz="0" w:space="0" w:color="auto"/>
      </w:pBdr>
      <w:spacing w:before="180"/>
      <w:ind w:left="0" w:firstLine="0"/>
      <w:outlineLvl w:val="1"/>
    </w:pPr>
    <w:rPr>
      <w:sz w:val="32"/>
    </w:rPr>
  </w:style>
  <w:style w:type="paragraph" w:styleId="Heading3">
    <w:name w:val="heading 3"/>
    <w:basedOn w:val="Heading2"/>
    <w:next w:val="Normal"/>
    <w:qFormat/>
    <w:rsid w:val="00AF0EE4"/>
    <w:pPr>
      <w:spacing w:before="120"/>
      <w:outlineLvl w:val="2"/>
    </w:pPr>
    <w:rPr>
      <w:sz w:val="28"/>
    </w:rPr>
  </w:style>
  <w:style w:type="paragraph" w:styleId="Heading4">
    <w:name w:val="heading 4"/>
    <w:basedOn w:val="Heading3"/>
    <w:next w:val="Normal"/>
    <w:qFormat/>
    <w:rsid w:val="00AF0EE4"/>
    <w:pPr>
      <w:ind w:left="1418" w:hanging="1418"/>
      <w:outlineLvl w:val="3"/>
    </w:pPr>
    <w:rPr>
      <w:sz w:val="24"/>
    </w:rPr>
  </w:style>
  <w:style w:type="paragraph" w:styleId="Heading5">
    <w:name w:val="heading 5"/>
    <w:basedOn w:val="Heading4"/>
    <w:next w:val="Normal"/>
    <w:qFormat/>
    <w:rsid w:val="00AF0EE4"/>
    <w:pPr>
      <w:ind w:left="1701" w:hanging="1701"/>
      <w:outlineLvl w:val="4"/>
    </w:pPr>
    <w:rPr>
      <w:sz w:val="22"/>
    </w:rPr>
  </w:style>
  <w:style w:type="paragraph" w:styleId="Heading6">
    <w:name w:val="heading 6"/>
    <w:basedOn w:val="H6"/>
    <w:next w:val="Normal"/>
    <w:qFormat/>
    <w:rsid w:val="00AF0EE4"/>
    <w:pPr>
      <w:outlineLvl w:val="5"/>
    </w:pPr>
  </w:style>
  <w:style w:type="paragraph" w:styleId="Heading7">
    <w:name w:val="heading 7"/>
    <w:basedOn w:val="H6"/>
    <w:next w:val="Normal"/>
    <w:qFormat/>
    <w:rsid w:val="00AF0EE4"/>
    <w:pPr>
      <w:outlineLvl w:val="6"/>
    </w:pPr>
  </w:style>
  <w:style w:type="paragraph" w:styleId="Heading8">
    <w:name w:val="heading 8"/>
    <w:basedOn w:val="Heading1"/>
    <w:next w:val="Normal"/>
    <w:qFormat/>
    <w:rsid w:val="00AF0EE4"/>
    <w:pPr>
      <w:ind w:left="0" w:firstLine="0"/>
      <w:outlineLvl w:val="7"/>
    </w:pPr>
  </w:style>
  <w:style w:type="paragraph" w:styleId="Heading9">
    <w:name w:val="heading 9"/>
    <w:basedOn w:val="Heading8"/>
    <w:next w:val="Normal"/>
    <w:qFormat/>
    <w:rsid w:val="00AF0EE4"/>
    <w:pPr>
      <w:outlineLvl w:val="8"/>
    </w:pPr>
  </w:style>
  <w:style w:type="character" w:default="1" w:styleId="DefaultParagraphFont">
    <w:name w:val="Default Paragraph Font"/>
    <w:semiHidden/>
    <w:rsid w:val="00AF0E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0EE4"/>
  </w:style>
  <w:style w:type="paragraph" w:styleId="TOC8">
    <w:name w:val="toc 8"/>
    <w:basedOn w:val="TOC1"/>
    <w:semiHidden/>
    <w:rsid w:val="00AF0EE4"/>
    <w:pPr>
      <w:spacing w:before="180"/>
      <w:ind w:left="2693" w:hanging="2693"/>
    </w:pPr>
    <w:rPr>
      <w:b/>
    </w:rPr>
  </w:style>
  <w:style w:type="paragraph" w:styleId="TOC1">
    <w:name w:val="toc 1"/>
    <w:semiHidden/>
    <w:rsid w:val="00AF0E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F0E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F0EE4"/>
    <w:pPr>
      <w:ind w:left="1701" w:hanging="1701"/>
    </w:pPr>
  </w:style>
  <w:style w:type="paragraph" w:styleId="TOC4">
    <w:name w:val="toc 4"/>
    <w:basedOn w:val="TOC3"/>
    <w:semiHidden/>
    <w:rsid w:val="00AF0EE4"/>
    <w:pPr>
      <w:ind w:left="1418" w:hanging="1418"/>
    </w:pPr>
  </w:style>
  <w:style w:type="paragraph" w:styleId="TOC3">
    <w:name w:val="toc 3"/>
    <w:basedOn w:val="TOC2"/>
    <w:semiHidden/>
    <w:rsid w:val="00AF0EE4"/>
    <w:pPr>
      <w:ind w:left="1134" w:hanging="1134"/>
    </w:pPr>
  </w:style>
  <w:style w:type="paragraph" w:styleId="TOC2">
    <w:name w:val="toc 2"/>
    <w:basedOn w:val="TOC1"/>
    <w:semiHidden/>
    <w:rsid w:val="00AF0EE4"/>
    <w:pPr>
      <w:keepNext w:val="0"/>
      <w:spacing w:before="0"/>
      <w:ind w:left="851" w:hanging="851"/>
    </w:pPr>
    <w:rPr>
      <w:sz w:val="20"/>
    </w:rPr>
  </w:style>
  <w:style w:type="paragraph" w:styleId="Index2">
    <w:name w:val="index 2"/>
    <w:basedOn w:val="Index1"/>
    <w:semiHidden/>
    <w:rsid w:val="00AF0EE4"/>
    <w:pPr>
      <w:ind w:left="284"/>
    </w:pPr>
  </w:style>
  <w:style w:type="paragraph" w:styleId="Index1">
    <w:name w:val="index 1"/>
    <w:basedOn w:val="Normal"/>
    <w:semiHidden/>
    <w:rsid w:val="00AF0EE4"/>
    <w:pPr>
      <w:keepLines/>
      <w:spacing w:after="0"/>
    </w:pPr>
  </w:style>
  <w:style w:type="paragraph" w:customStyle="1" w:styleId="ZH">
    <w:name w:val="ZH"/>
    <w:rsid w:val="00AF0E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F0EE4"/>
    <w:pPr>
      <w:outlineLvl w:val="9"/>
    </w:pPr>
  </w:style>
  <w:style w:type="paragraph" w:styleId="ListNumber2">
    <w:name w:val="List Number 2"/>
    <w:basedOn w:val="ListNumber"/>
    <w:semiHidden/>
    <w:rsid w:val="00AF0EE4"/>
    <w:pPr>
      <w:ind w:left="851"/>
    </w:pPr>
  </w:style>
  <w:style w:type="paragraph" w:styleId="Header">
    <w:name w:val="header"/>
    <w:semiHidden/>
    <w:rsid w:val="00AF0E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F0EE4"/>
    <w:rPr>
      <w:b/>
      <w:position w:val="6"/>
      <w:sz w:val="16"/>
    </w:rPr>
  </w:style>
  <w:style w:type="paragraph" w:styleId="FootnoteText">
    <w:name w:val="footnote text"/>
    <w:basedOn w:val="Normal"/>
    <w:semiHidden/>
    <w:rsid w:val="00AF0EE4"/>
    <w:pPr>
      <w:keepLines/>
      <w:spacing w:after="0"/>
      <w:ind w:left="454" w:hanging="454"/>
    </w:pPr>
    <w:rPr>
      <w:sz w:val="16"/>
    </w:rPr>
  </w:style>
  <w:style w:type="paragraph" w:customStyle="1" w:styleId="TAH">
    <w:name w:val="TAH"/>
    <w:basedOn w:val="TAC"/>
    <w:rsid w:val="00AF0EE4"/>
    <w:rPr>
      <w:b/>
    </w:rPr>
  </w:style>
  <w:style w:type="paragraph" w:customStyle="1" w:styleId="TAC">
    <w:name w:val="TAC"/>
    <w:basedOn w:val="TAL"/>
    <w:rsid w:val="00AF0EE4"/>
    <w:pPr>
      <w:jc w:val="center"/>
    </w:pPr>
  </w:style>
  <w:style w:type="paragraph" w:customStyle="1" w:styleId="TF">
    <w:name w:val="TF"/>
    <w:basedOn w:val="TH"/>
    <w:rsid w:val="00AF0EE4"/>
    <w:pPr>
      <w:keepNext w:val="0"/>
      <w:spacing w:before="0" w:after="240"/>
    </w:pPr>
  </w:style>
  <w:style w:type="paragraph" w:customStyle="1" w:styleId="NO">
    <w:name w:val="NO"/>
    <w:basedOn w:val="Normal"/>
    <w:rsid w:val="00AF0EE4"/>
    <w:pPr>
      <w:keepLines/>
      <w:ind w:left="1135" w:hanging="851"/>
    </w:pPr>
  </w:style>
  <w:style w:type="paragraph" w:styleId="TOC9">
    <w:name w:val="toc 9"/>
    <w:basedOn w:val="TOC8"/>
    <w:semiHidden/>
    <w:rsid w:val="00AF0EE4"/>
    <w:pPr>
      <w:ind w:left="1418" w:hanging="1418"/>
    </w:pPr>
  </w:style>
  <w:style w:type="paragraph" w:customStyle="1" w:styleId="EX">
    <w:name w:val="EX"/>
    <w:basedOn w:val="Normal"/>
    <w:rsid w:val="00AF0EE4"/>
    <w:pPr>
      <w:keepLines/>
      <w:ind w:left="1702" w:hanging="1418"/>
    </w:pPr>
  </w:style>
  <w:style w:type="paragraph" w:customStyle="1" w:styleId="FP">
    <w:name w:val="FP"/>
    <w:basedOn w:val="Normal"/>
    <w:rsid w:val="00AF0EE4"/>
    <w:pPr>
      <w:spacing w:after="0"/>
    </w:pPr>
  </w:style>
  <w:style w:type="paragraph" w:customStyle="1" w:styleId="LD">
    <w:name w:val="LD"/>
    <w:rsid w:val="00AF0E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F0EE4"/>
    <w:pPr>
      <w:spacing w:after="0"/>
    </w:pPr>
  </w:style>
  <w:style w:type="paragraph" w:customStyle="1" w:styleId="EW">
    <w:name w:val="EW"/>
    <w:basedOn w:val="EX"/>
    <w:rsid w:val="00AF0EE4"/>
    <w:pPr>
      <w:spacing w:after="0"/>
    </w:pPr>
  </w:style>
  <w:style w:type="paragraph" w:styleId="TOC6">
    <w:name w:val="toc 6"/>
    <w:basedOn w:val="TOC5"/>
    <w:next w:val="Normal"/>
    <w:semiHidden/>
    <w:rsid w:val="00AF0EE4"/>
    <w:pPr>
      <w:ind w:left="1985" w:hanging="1985"/>
    </w:pPr>
  </w:style>
  <w:style w:type="paragraph" w:styleId="TOC7">
    <w:name w:val="toc 7"/>
    <w:basedOn w:val="TOC6"/>
    <w:next w:val="Normal"/>
    <w:semiHidden/>
    <w:rsid w:val="00AF0EE4"/>
    <w:pPr>
      <w:ind w:left="2268" w:hanging="2268"/>
    </w:pPr>
  </w:style>
  <w:style w:type="paragraph" w:styleId="ListBullet2">
    <w:name w:val="List Bullet 2"/>
    <w:basedOn w:val="ListBullet"/>
    <w:semiHidden/>
    <w:rsid w:val="00AF0EE4"/>
    <w:pPr>
      <w:ind w:left="851"/>
    </w:pPr>
  </w:style>
  <w:style w:type="paragraph" w:styleId="ListBullet3">
    <w:name w:val="List Bullet 3"/>
    <w:basedOn w:val="ListBullet2"/>
    <w:semiHidden/>
    <w:rsid w:val="00AF0EE4"/>
    <w:pPr>
      <w:ind w:left="1135"/>
    </w:pPr>
  </w:style>
  <w:style w:type="paragraph" w:styleId="ListNumber">
    <w:name w:val="List Number"/>
    <w:basedOn w:val="List"/>
    <w:semiHidden/>
    <w:rsid w:val="00AF0EE4"/>
  </w:style>
  <w:style w:type="paragraph" w:customStyle="1" w:styleId="EQ">
    <w:name w:val="EQ"/>
    <w:basedOn w:val="Normal"/>
    <w:next w:val="Normal"/>
    <w:rsid w:val="00AF0EE4"/>
    <w:pPr>
      <w:keepLines/>
      <w:tabs>
        <w:tab w:val="center" w:pos="4536"/>
        <w:tab w:val="right" w:pos="9072"/>
      </w:tabs>
    </w:pPr>
    <w:rPr>
      <w:noProof/>
    </w:rPr>
  </w:style>
  <w:style w:type="paragraph" w:customStyle="1" w:styleId="TH">
    <w:name w:val="TH"/>
    <w:basedOn w:val="Normal"/>
    <w:rsid w:val="00AF0EE4"/>
    <w:pPr>
      <w:keepNext/>
      <w:keepLines/>
      <w:spacing w:before="60"/>
      <w:jc w:val="center"/>
    </w:pPr>
    <w:rPr>
      <w:rFonts w:ascii="Arial" w:hAnsi="Arial"/>
      <w:b/>
    </w:rPr>
  </w:style>
  <w:style w:type="paragraph" w:customStyle="1" w:styleId="NF">
    <w:name w:val="NF"/>
    <w:basedOn w:val="NO"/>
    <w:rsid w:val="00AF0EE4"/>
    <w:pPr>
      <w:keepNext/>
      <w:spacing w:after="0"/>
    </w:pPr>
    <w:rPr>
      <w:rFonts w:ascii="Arial" w:hAnsi="Arial"/>
      <w:sz w:val="18"/>
    </w:rPr>
  </w:style>
  <w:style w:type="paragraph" w:customStyle="1" w:styleId="PL">
    <w:name w:val="PL"/>
    <w:rsid w:val="00AF0E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F0EE4"/>
    <w:pPr>
      <w:jc w:val="right"/>
    </w:pPr>
  </w:style>
  <w:style w:type="paragraph" w:customStyle="1" w:styleId="H6">
    <w:name w:val="H6"/>
    <w:basedOn w:val="Heading5"/>
    <w:next w:val="Normal"/>
    <w:rsid w:val="00AF0EE4"/>
    <w:pPr>
      <w:ind w:left="1985" w:hanging="1985"/>
      <w:outlineLvl w:val="9"/>
    </w:pPr>
    <w:rPr>
      <w:sz w:val="20"/>
    </w:rPr>
  </w:style>
  <w:style w:type="paragraph" w:customStyle="1" w:styleId="TAN">
    <w:name w:val="TAN"/>
    <w:basedOn w:val="TAL"/>
    <w:rsid w:val="00AF0EE4"/>
    <w:pPr>
      <w:ind w:left="851" w:hanging="851"/>
    </w:pPr>
  </w:style>
  <w:style w:type="paragraph" w:customStyle="1" w:styleId="TAL">
    <w:name w:val="TAL"/>
    <w:basedOn w:val="Normal"/>
    <w:rsid w:val="00AF0EE4"/>
    <w:pPr>
      <w:keepNext/>
      <w:keepLines/>
      <w:spacing w:after="0"/>
    </w:pPr>
    <w:rPr>
      <w:rFonts w:ascii="Arial" w:hAnsi="Arial"/>
      <w:sz w:val="18"/>
    </w:rPr>
  </w:style>
  <w:style w:type="paragraph" w:customStyle="1" w:styleId="ZA">
    <w:name w:val="ZA"/>
    <w:rsid w:val="00AF0E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0E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0E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F0E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0EE4"/>
    <w:pPr>
      <w:framePr w:wrap="notBeside" w:y="16161"/>
    </w:pPr>
  </w:style>
  <w:style w:type="character" w:customStyle="1" w:styleId="ZGSM">
    <w:name w:val="ZGSM"/>
    <w:rsid w:val="00AF0EE4"/>
  </w:style>
  <w:style w:type="paragraph" w:styleId="List2">
    <w:name w:val="List 2"/>
    <w:basedOn w:val="List"/>
    <w:semiHidden/>
    <w:rsid w:val="00AF0EE4"/>
    <w:pPr>
      <w:ind w:left="851"/>
    </w:pPr>
  </w:style>
  <w:style w:type="paragraph" w:customStyle="1" w:styleId="ZG">
    <w:name w:val="ZG"/>
    <w:rsid w:val="00AF0E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F0EE4"/>
    <w:pPr>
      <w:ind w:left="1135"/>
    </w:pPr>
  </w:style>
  <w:style w:type="paragraph" w:styleId="List4">
    <w:name w:val="List 4"/>
    <w:basedOn w:val="List3"/>
    <w:semiHidden/>
    <w:rsid w:val="00AF0EE4"/>
    <w:pPr>
      <w:ind w:left="1418"/>
    </w:pPr>
  </w:style>
  <w:style w:type="paragraph" w:styleId="List5">
    <w:name w:val="List 5"/>
    <w:basedOn w:val="List4"/>
    <w:semiHidden/>
    <w:rsid w:val="00AF0EE4"/>
    <w:pPr>
      <w:ind w:left="1702"/>
    </w:pPr>
  </w:style>
  <w:style w:type="paragraph" w:customStyle="1" w:styleId="EditorsNote">
    <w:name w:val="Editor's Note"/>
    <w:basedOn w:val="NO"/>
    <w:rsid w:val="00AF0EE4"/>
    <w:rPr>
      <w:color w:val="FF0000"/>
    </w:rPr>
  </w:style>
  <w:style w:type="paragraph" w:styleId="List">
    <w:name w:val="List"/>
    <w:basedOn w:val="Normal"/>
    <w:semiHidden/>
    <w:rsid w:val="00AF0EE4"/>
    <w:pPr>
      <w:ind w:left="568" w:hanging="284"/>
    </w:pPr>
  </w:style>
  <w:style w:type="paragraph" w:styleId="ListBullet">
    <w:name w:val="List Bullet"/>
    <w:basedOn w:val="List"/>
    <w:semiHidden/>
    <w:rsid w:val="00AF0EE4"/>
  </w:style>
  <w:style w:type="paragraph" w:styleId="ListBullet4">
    <w:name w:val="List Bullet 4"/>
    <w:basedOn w:val="ListBullet3"/>
    <w:semiHidden/>
    <w:rsid w:val="00AF0EE4"/>
    <w:pPr>
      <w:ind w:left="1418"/>
    </w:pPr>
  </w:style>
  <w:style w:type="paragraph" w:styleId="ListBullet5">
    <w:name w:val="List Bullet 5"/>
    <w:basedOn w:val="ListBullet4"/>
    <w:semiHidden/>
    <w:rsid w:val="00AF0EE4"/>
    <w:pPr>
      <w:ind w:left="1702"/>
    </w:pPr>
  </w:style>
  <w:style w:type="paragraph" w:customStyle="1" w:styleId="B1">
    <w:name w:val="B1"/>
    <w:basedOn w:val="List"/>
    <w:rsid w:val="00AF0EE4"/>
  </w:style>
  <w:style w:type="paragraph" w:customStyle="1" w:styleId="B2">
    <w:name w:val="B2"/>
    <w:basedOn w:val="List2"/>
    <w:rsid w:val="00AF0EE4"/>
  </w:style>
  <w:style w:type="paragraph" w:customStyle="1" w:styleId="B3">
    <w:name w:val="B3"/>
    <w:basedOn w:val="List3"/>
    <w:rsid w:val="00AF0EE4"/>
  </w:style>
  <w:style w:type="paragraph" w:customStyle="1" w:styleId="B4">
    <w:name w:val="B4"/>
    <w:basedOn w:val="List4"/>
    <w:rsid w:val="00AF0EE4"/>
  </w:style>
  <w:style w:type="paragraph" w:customStyle="1" w:styleId="B5">
    <w:name w:val="B5"/>
    <w:basedOn w:val="List5"/>
    <w:rsid w:val="00AF0EE4"/>
  </w:style>
  <w:style w:type="paragraph" w:styleId="Footer">
    <w:name w:val="footer"/>
    <w:basedOn w:val="Header"/>
    <w:semiHidden/>
    <w:rsid w:val="00AF0EE4"/>
    <w:pPr>
      <w:jc w:val="center"/>
    </w:pPr>
    <w:rPr>
      <w:i/>
    </w:rPr>
  </w:style>
  <w:style w:type="paragraph" w:customStyle="1" w:styleId="ZTD">
    <w:name w:val="ZTD"/>
    <w:basedOn w:val="ZB"/>
    <w:rsid w:val="00AF0EE4"/>
    <w:pPr>
      <w:framePr w:hRule="auto" w:wrap="notBeside" w:y="852"/>
    </w:pPr>
    <w:rPr>
      <w:i w:val="0"/>
      <w:sz w:val="40"/>
    </w:rPr>
  </w:style>
  <w:style w:type="character" w:styleId="Strong">
    <w:name w:val="Strong"/>
    <w:uiPriority w:val="22"/>
    <w:qFormat/>
    <w:rsid w:val="00806EAC"/>
    <w:rPr>
      <w:b/>
      <w:bCs/>
    </w:rPr>
  </w:style>
  <w:style w:type="character" w:styleId="BookTitle">
    <w:name w:val="Book Title"/>
    <w:basedOn w:val="DefaultParagraphFont"/>
    <w:uiPriority w:val="33"/>
    <w:qFormat/>
    <w:rsid w:val="00806EAC"/>
    <w:rPr>
      <w:b/>
      <w:bCs/>
      <w:i/>
      <w:iCs/>
      <w:spacing w:val="5"/>
    </w:rPr>
  </w:style>
  <w:style w:type="character" w:styleId="Emphasis">
    <w:name w:val="Emphasis"/>
    <w:basedOn w:val="DefaultParagraphFont"/>
    <w:uiPriority w:val="20"/>
    <w:qFormat/>
    <w:rsid w:val="00806EAC"/>
    <w:rPr>
      <w:i/>
      <w:iCs/>
    </w:rPr>
  </w:style>
  <w:style w:type="character" w:styleId="IntenseReference">
    <w:name w:val="Intense Reference"/>
    <w:basedOn w:val="DefaultParagraphFont"/>
    <w:uiPriority w:val="32"/>
    <w:qFormat/>
    <w:rsid w:val="00806EAC"/>
    <w:rPr>
      <w:b/>
      <w:bCs/>
      <w:smallCaps/>
      <w:color w:val="4472C4" w:themeColor="accent1"/>
      <w:spacing w:val="5"/>
    </w:rPr>
  </w:style>
  <w:style w:type="paragraph" w:styleId="Title">
    <w:name w:val="Title"/>
    <w:basedOn w:val="Normal"/>
    <w:next w:val="Normal"/>
    <w:link w:val="TitleChar"/>
    <w:uiPriority w:val="10"/>
    <w:qFormat/>
    <w:rsid w:val="002B461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4616"/>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2B461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B4616"/>
    <w:rPr>
      <w:rFonts w:asciiTheme="minorHAnsi" w:eastAsiaTheme="minorEastAsia" w:hAnsiTheme="minorHAnsi" w:cstheme="minorBidi"/>
      <w:color w:val="5A5A5A" w:themeColor="text1" w:themeTint="A5"/>
      <w:spacing w:val="15"/>
      <w:sz w:val="22"/>
      <w:szCs w:val="22"/>
      <w:lang w:val="en-GB"/>
    </w:rPr>
  </w:style>
  <w:style w:type="character" w:styleId="PlaceholderText">
    <w:name w:val="Placeholder Text"/>
    <w:basedOn w:val="DefaultParagraphFont"/>
    <w:uiPriority w:val="99"/>
    <w:semiHidden/>
    <w:rsid w:val="00977181"/>
    <w:rPr>
      <w:color w:val="808080"/>
    </w:rPr>
  </w:style>
  <w:style w:type="character" w:styleId="IntenseEmphasis">
    <w:name w:val="Intense Emphasis"/>
    <w:basedOn w:val="DefaultParagraphFont"/>
    <w:uiPriority w:val="21"/>
    <w:qFormat/>
    <w:rsid w:val="004F4239"/>
    <w:rPr>
      <w:i/>
      <w:iCs/>
      <w:color w:val="4472C4" w:themeColor="accent1"/>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2349E6"/>
    <w:pPr>
      <w:ind w:left="720"/>
      <w:contextualSpacing/>
    </w:p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rsid w:val="007D57E3"/>
    <w:rPr>
      <w:rFonts w:ascii="Times New Roman" w:hAnsi="Times New Roman"/>
      <w:lang w:val="en-GB"/>
    </w:rPr>
  </w:style>
  <w:style w:type="paragraph" w:styleId="Caption">
    <w:name w:val="caption"/>
    <w:basedOn w:val="Normal"/>
    <w:next w:val="Normal"/>
    <w:uiPriority w:val="35"/>
    <w:unhideWhenUsed/>
    <w:qFormat/>
    <w:rsid w:val="008051F8"/>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3E36C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36C9"/>
    <w:rPr>
      <w:rFonts w:ascii="Segoe UI" w:hAnsi="Segoe UI" w:cs="Segoe UI"/>
      <w:sz w:val="18"/>
      <w:szCs w:val="18"/>
      <w:lang w:val="en-GB"/>
    </w:rPr>
  </w:style>
  <w:style w:type="table" w:styleId="TableGrid">
    <w:name w:val="Table Grid"/>
    <w:basedOn w:val="TableNormal"/>
    <w:uiPriority w:val="39"/>
    <w:qFormat/>
    <w:rsid w:val="00D054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24A3E"/>
    <w:rPr>
      <w:sz w:val="16"/>
      <w:szCs w:val="16"/>
    </w:rPr>
  </w:style>
  <w:style w:type="paragraph" w:styleId="CommentText">
    <w:name w:val="annotation text"/>
    <w:basedOn w:val="Normal"/>
    <w:link w:val="CommentTextChar"/>
    <w:uiPriority w:val="99"/>
    <w:semiHidden/>
    <w:unhideWhenUsed/>
    <w:rsid w:val="00024A3E"/>
    <w:pPr>
      <w:overflowPunct/>
      <w:autoSpaceDE/>
      <w:autoSpaceDN/>
      <w:adjustRightInd/>
      <w:spacing w:after="160"/>
      <w:textAlignment w:val="auto"/>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semiHidden/>
    <w:rsid w:val="00024A3E"/>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58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doc\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87E55-8C56-4650-9142-2217974C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14652</TotalTime>
  <Pages>12</Pages>
  <Words>4076</Words>
  <Characters>23234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27256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Luca Blessent</dc:creator>
  <cp:keywords>ESA, style sheet, Winword</cp:keywords>
  <dc:description/>
  <cp:lastModifiedBy>Luca Blessent</cp:lastModifiedBy>
  <cp:revision>458</cp:revision>
  <cp:lastPrinted>1900-01-01T05:00:00Z</cp:lastPrinted>
  <dcterms:created xsi:type="dcterms:W3CDTF">2019-08-14T14:40:00Z</dcterms:created>
  <dcterms:modified xsi:type="dcterms:W3CDTF">2021-08-06T22:55:00Z</dcterms:modified>
</cp:coreProperties>
</file>